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1A2" w:rsidRDefault="00C301A2">
      <w:pPr>
        <w:jc w:val="both"/>
        <w:rPr>
          <w:rFonts w:ascii="Palatino Linotype" w:eastAsia="Palatino Linotype" w:hAnsi="Palatino Linotype" w:cs="Palatino Linotype"/>
          <w:b/>
        </w:rPr>
      </w:pPr>
    </w:p>
    <w:p w:rsidR="00C301A2" w:rsidRDefault="00C301A2">
      <w:pPr>
        <w:jc w:val="center"/>
        <w:rPr>
          <w:rFonts w:ascii="Palatino Linotype" w:eastAsia="Palatino Linotype" w:hAnsi="Palatino Linotype" w:cs="Palatino Linotype"/>
          <w:b/>
          <w:smallCaps/>
        </w:rPr>
      </w:pPr>
    </w:p>
    <w:p w:rsidR="00C301A2" w:rsidRDefault="00C301A2">
      <w:pPr>
        <w:jc w:val="center"/>
        <w:rPr>
          <w:rFonts w:ascii="Palatino Linotype" w:eastAsia="Palatino Linotype" w:hAnsi="Palatino Linotype" w:cs="Palatino Linotype"/>
          <w:b/>
          <w:smallCaps/>
        </w:rPr>
      </w:pPr>
    </w:p>
    <w:p w:rsidR="00C301A2" w:rsidRDefault="00C301A2">
      <w:pPr>
        <w:jc w:val="center"/>
        <w:rPr>
          <w:rFonts w:ascii="Palatino Linotype" w:eastAsia="Palatino Linotype" w:hAnsi="Palatino Linotype" w:cs="Palatino Linotype"/>
          <w:b/>
          <w:smallCaps/>
        </w:rPr>
      </w:pPr>
    </w:p>
    <w:p w:rsidR="00C301A2" w:rsidRDefault="00C301A2">
      <w:pPr>
        <w:jc w:val="center"/>
        <w:rPr>
          <w:rFonts w:ascii="Palatino Linotype" w:eastAsia="Palatino Linotype" w:hAnsi="Palatino Linotype" w:cs="Palatino Linotype"/>
          <w:b/>
          <w:smallCaps/>
        </w:rPr>
      </w:pPr>
    </w:p>
    <w:p w:rsidR="00C301A2" w:rsidRDefault="00C301A2">
      <w:pPr>
        <w:jc w:val="center"/>
        <w:rPr>
          <w:rFonts w:ascii="Palatino Linotype" w:eastAsia="Palatino Linotype" w:hAnsi="Palatino Linotype" w:cs="Palatino Linotype"/>
          <w:b/>
          <w:smallCaps/>
        </w:rPr>
      </w:pPr>
      <w:bookmarkStart w:id="0" w:name="_heading=h.4d34og8" w:colFirst="0" w:colLast="0"/>
      <w:bookmarkEnd w:id="0"/>
    </w:p>
    <w:p w:rsidR="00C301A2" w:rsidRDefault="00C301A2">
      <w:pPr>
        <w:jc w:val="center"/>
        <w:rPr>
          <w:rFonts w:ascii="Palatino Linotype" w:eastAsia="Palatino Linotype" w:hAnsi="Palatino Linotype" w:cs="Palatino Linotype"/>
          <w:b/>
          <w:smallCaps/>
        </w:rPr>
      </w:pPr>
    </w:p>
    <w:p w:rsidR="00C301A2" w:rsidRDefault="00D43C36">
      <w:pPr>
        <w:jc w:val="center"/>
        <w:rPr>
          <w:rFonts w:ascii="Palatino Linotype" w:eastAsia="Palatino Linotype" w:hAnsi="Palatino Linotype" w:cs="Palatino Linotype"/>
          <w:b/>
          <w:smallCaps/>
          <w:sz w:val="24"/>
          <w:szCs w:val="24"/>
        </w:rPr>
      </w:pPr>
      <w:r>
        <w:rPr>
          <w:rFonts w:ascii="Palatino Linotype" w:eastAsia="Palatino Linotype" w:hAnsi="Palatino Linotype" w:cs="Palatino Linotype"/>
          <w:b/>
          <w:smallCaps/>
          <w:sz w:val="24"/>
          <w:szCs w:val="24"/>
        </w:rPr>
        <w:t>АНАЛИЗ НА ИНСТИТУЦИОНАЛНИЯ КАПАЦИТЕТ В СФЕРАТА НА УПРАВЛЕНИЕТО НА ОТПАДЪЦИТЕ, С АКЦЕНТ ВЪРХУ КОНТРОЛНИТЕ ФУНКЦИИ</w:t>
      </w:r>
    </w:p>
    <w:p w:rsidR="00C301A2" w:rsidRDefault="00D43C36">
      <w:pPr>
        <w:jc w:val="center"/>
        <w:rPr>
          <w:rFonts w:ascii="Palatino Linotype" w:eastAsia="Palatino Linotype" w:hAnsi="Palatino Linotype" w:cs="Palatino Linotype"/>
          <w:b/>
          <w:smallCaps/>
        </w:rPr>
      </w:pPr>
      <w:r>
        <w:br w:type="page"/>
      </w:r>
    </w:p>
    <w:p w:rsidR="00C301A2" w:rsidRPr="001024B0" w:rsidRDefault="00D43C36" w:rsidP="001024B0">
      <w:pPr>
        <w:pBdr>
          <w:bottom w:val="single" w:sz="12" w:space="1" w:color="C00000"/>
        </w:pBdr>
        <w:jc w:val="both"/>
        <w:rPr>
          <w:rFonts w:ascii="Palatino Linotype" w:eastAsia="Palatino Linotype" w:hAnsi="Palatino Linotype" w:cs="Palatino Linotype"/>
          <w:b/>
          <w:smallCaps/>
        </w:rPr>
      </w:pPr>
      <w:r>
        <w:rPr>
          <w:rFonts w:ascii="Palatino Linotype" w:eastAsia="Palatino Linotype" w:hAnsi="Palatino Linotype" w:cs="Palatino Linotype"/>
          <w:b/>
          <w:smallCaps/>
        </w:rPr>
        <w:lastRenderedPageBreak/>
        <w:t>4.5. АНАЛИЗ НА ИНСТИТУЦИОНАЛНИЯ КАПАЦИТЕТ В СФЕРАТА НА УПРАВЛЕНИЕТО НА ОТПАДЪЦИТЕ, С АКЦЕНТ ВЪРХУ КОНТРОЛНИТЕ ФУНКЦИИ</w:t>
      </w:r>
    </w:p>
    <w:p w:rsidR="00C301A2" w:rsidRPr="001024B0" w:rsidRDefault="00D43C36" w:rsidP="001024B0">
      <w:pPr>
        <w:spacing w:after="0"/>
        <w:rPr>
          <w:rFonts w:ascii="Palatino Linotype" w:eastAsia="Palatino Linotype" w:hAnsi="Palatino Linotype" w:cs="Palatino Linotype"/>
          <w:b/>
        </w:rPr>
      </w:pPr>
      <w:r>
        <w:rPr>
          <w:rFonts w:ascii="Palatino Linotype" w:eastAsia="Palatino Linotype" w:hAnsi="Palatino Linotype" w:cs="Palatino Linotype"/>
          <w:b/>
        </w:rPr>
        <w:t xml:space="preserve">Въведение </w:t>
      </w:r>
    </w:p>
    <w:p w:rsidR="00C301A2" w:rsidRDefault="00D43C36" w:rsidP="001024B0">
      <w:pP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Столична община е самостоятелен регион за управление на отпадъците. Предмет на настоящия анализ е институционалният капацитет в сферата на управление на отпадъците, с акцент върху контролните функции.</w:t>
      </w:r>
    </w:p>
    <w:p w:rsidR="00C301A2" w:rsidRDefault="00C301A2">
      <w:pPr>
        <w:spacing w:after="0" w:line="276" w:lineRule="auto"/>
        <w:jc w:val="both"/>
        <w:rPr>
          <w:rFonts w:ascii="Palatino Linotype" w:eastAsia="Palatino Linotype" w:hAnsi="Palatino Linotype" w:cs="Palatino Linotype"/>
          <w:color w:val="000000"/>
        </w:rPr>
      </w:pPr>
    </w:p>
    <w:p w:rsidR="00C301A2" w:rsidRPr="001024B0" w:rsidRDefault="00D43C36" w:rsidP="001024B0">
      <w:pPr>
        <w:spacing w:after="0"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 xml:space="preserve">Информационна обезпеченост на анализа </w:t>
      </w:r>
    </w:p>
    <w:p w:rsidR="00C301A2" w:rsidRDefault="00D43C36" w:rsidP="001024B0">
      <w:pP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За целите на настоящия анализ е ползвана информация, налична в Столична община, вкл. и на интернет страницата й – наредби, правилници, и др., </w:t>
      </w:r>
      <w:r>
        <w:rPr>
          <w:rFonts w:ascii="Palatino Linotype" w:eastAsia="Palatino Linotype" w:hAnsi="Palatino Linotype" w:cs="Palatino Linotype"/>
        </w:rPr>
        <w:t xml:space="preserve">съответно </w:t>
      </w:r>
      <w:r>
        <w:rPr>
          <w:rFonts w:ascii="Palatino Linotype" w:eastAsia="Palatino Linotype" w:hAnsi="Palatino Linotype" w:cs="Palatino Linotype"/>
          <w:color w:val="000000"/>
        </w:rPr>
        <w:t xml:space="preserve"> посочено</w:t>
      </w:r>
      <w:r>
        <w:rPr>
          <w:rFonts w:ascii="Palatino Linotype" w:eastAsia="Palatino Linotype" w:hAnsi="Palatino Linotype" w:cs="Palatino Linotype"/>
        </w:rPr>
        <w:t>,</w:t>
      </w:r>
      <w:r>
        <w:rPr>
          <w:rFonts w:ascii="Palatino Linotype" w:eastAsia="Palatino Linotype" w:hAnsi="Palatino Linotype" w:cs="Palatino Linotype"/>
          <w:color w:val="000000"/>
        </w:rPr>
        <w:t xml:space="preserve"> където е приложимо, както следва:</w:t>
      </w:r>
    </w:p>
    <w:p w:rsidR="00C301A2" w:rsidRDefault="00D43C36">
      <w:pPr>
        <w:numPr>
          <w:ilvl w:val="0"/>
          <w:numId w:val="21"/>
        </w:numP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проучване на ведомствени и национални нормативни документи, регламентиращи правомощията и функциите за управлението на отпадъците;</w:t>
      </w:r>
    </w:p>
    <w:p w:rsidR="00C301A2" w:rsidRDefault="00D43C36">
      <w:pPr>
        <w:numPr>
          <w:ilvl w:val="0"/>
          <w:numId w:val="21"/>
        </w:numP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проучване на отчетни документи и статистически данни за дейностите по отпадъци и за персонала, ангажиран с функции за управление на отпадъците;</w:t>
      </w:r>
    </w:p>
    <w:p w:rsidR="00C301A2" w:rsidRPr="001024B0" w:rsidRDefault="00D43C36" w:rsidP="001024B0">
      <w:pPr>
        <w:numPr>
          <w:ilvl w:val="0"/>
          <w:numId w:val="21"/>
        </w:num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обобщаване на резултатите от предварително подготвени въпросници към ръководители и експерти с възложени функции за отпадъци в общината за изясняване на състоянието и на бъдещите потребности от гледна точка на капацитет в сферата на управление на отпадъците.</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4.5.1. Функции за управление на отпадъците в Столична община</w:t>
      </w:r>
    </w:p>
    <w:p w:rsidR="00C301A2" w:rsidRDefault="00D43C36" w:rsidP="006350B3">
      <w:pPr>
        <w:numPr>
          <w:ilvl w:val="3"/>
          <w:numId w:val="30"/>
        </w:numPr>
        <w:tabs>
          <w:tab w:val="left" w:pos="426"/>
        </w:tabs>
        <w:ind w:left="0" w:firstLine="0"/>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Отговорни звена и лица за управлението на отпадъците в общинската администрация</w:t>
      </w:r>
    </w:p>
    <w:p w:rsidR="00C301A2" w:rsidRDefault="00D43C36" w:rsidP="001024B0">
      <w:pPr>
        <w:jc w:val="both"/>
        <w:rPr>
          <w:rFonts w:ascii="Palatino Linotype" w:eastAsia="Palatino Linotype" w:hAnsi="Palatino Linotype" w:cs="Palatino Linotype"/>
        </w:rPr>
      </w:pPr>
      <w:r>
        <w:rPr>
          <w:rFonts w:ascii="Palatino Linotype" w:eastAsia="Palatino Linotype" w:hAnsi="Palatino Linotype" w:cs="Palatino Linotype"/>
        </w:rPr>
        <w:t>Правомощията на общината в процеса на управление на отпадъците са описани подробно в раздел „Анализ и оценка на действащите нормативни и програмни документи в контекста на правата и задълженията на общините по управление на отпадъците“. Предвид нормативно определените функции в областта на управление на отпадъците, институционалният капацитет на СО е разгледан по отношение функционалност, практически съответстваща на правомощията на кмета на общината.</w:t>
      </w:r>
    </w:p>
    <w:p w:rsidR="00C301A2" w:rsidRDefault="00D43C36" w:rsidP="001024B0">
      <w:pPr>
        <w:jc w:val="both"/>
        <w:rPr>
          <w:rFonts w:ascii="Palatino Linotype" w:eastAsia="Palatino Linotype" w:hAnsi="Palatino Linotype" w:cs="Palatino Linotype"/>
        </w:rPr>
      </w:pPr>
      <w:r>
        <w:rPr>
          <w:rFonts w:ascii="Palatino Linotype" w:eastAsia="Palatino Linotype" w:hAnsi="Palatino Linotype" w:cs="Palatino Linotype"/>
        </w:rPr>
        <w:t>Функциите за управление на отпадъците в Столична община могат да се групират в следните направления на компетентност:</w:t>
      </w:r>
    </w:p>
    <w:p w:rsidR="00C301A2" w:rsidRDefault="00D43C36">
      <w:pPr>
        <w:numPr>
          <w:ilvl w:val="0"/>
          <w:numId w:val="1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функции по политиката за отпадъците - разработване на общински програмни и нормативни документи;</w:t>
      </w:r>
    </w:p>
    <w:p w:rsidR="00C301A2" w:rsidRDefault="00D43C36">
      <w:pPr>
        <w:numPr>
          <w:ilvl w:val="0"/>
          <w:numId w:val="18"/>
        </w:numPr>
        <w:spacing w:after="0"/>
        <w:jc w:val="both"/>
        <w:rPr>
          <w:rFonts w:ascii="Palatino Linotype" w:eastAsia="Palatino Linotype" w:hAnsi="Palatino Linotype" w:cs="Palatino Linotype"/>
          <w:color w:val="000000"/>
        </w:rPr>
      </w:pPr>
      <w:bookmarkStart w:id="1" w:name="_heading=h.17dp8vu" w:colFirst="0" w:colLast="0"/>
      <w:bookmarkEnd w:id="1"/>
      <w:r>
        <w:rPr>
          <w:rFonts w:ascii="Palatino Linotype" w:eastAsia="Palatino Linotype" w:hAnsi="Palatino Linotype" w:cs="Palatino Linotype"/>
          <w:color w:val="000000"/>
        </w:rPr>
        <w:lastRenderedPageBreak/>
        <w:t>функции по предоставяне на услуги - дейности по събиране и третиране на отпадъците, разработване на годишни бюджети и определяне на годишните такси за предоставяне на услугата;</w:t>
      </w:r>
    </w:p>
    <w:p w:rsidR="00C301A2" w:rsidRDefault="00D43C36">
      <w:pPr>
        <w:numPr>
          <w:ilvl w:val="0"/>
          <w:numId w:val="1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функции по наблюдение и контрол – извършване на контрол и инспекции, в т.ч. превантивен, текущ и последващ контрол и координация с други органи;</w:t>
      </w:r>
    </w:p>
    <w:p w:rsidR="00C301A2" w:rsidRDefault="00D43C36">
      <w:pPr>
        <w:numPr>
          <w:ilvl w:val="0"/>
          <w:numId w:val="18"/>
        </w:numPr>
        <w:jc w:val="both"/>
        <w:rPr>
          <w:rFonts w:ascii="Palatino Linotype" w:eastAsia="Palatino Linotype" w:hAnsi="Palatino Linotype" w:cs="Palatino Linotype"/>
          <w:color w:val="000000"/>
        </w:rPr>
      </w:pPr>
      <w:bookmarkStart w:id="2" w:name="_heading=h.gjdgxs" w:colFirst="0" w:colLast="0"/>
      <w:bookmarkEnd w:id="2"/>
      <w:r>
        <w:rPr>
          <w:rFonts w:ascii="Palatino Linotype" w:eastAsia="Palatino Linotype" w:hAnsi="Palatino Linotype" w:cs="Palatino Linotype"/>
          <w:color w:val="000000"/>
        </w:rPr>
        <w:t>функции за привличане на обществеността - обществени консултации, информационно-образователни дейности</w:t>
      </w:r>
    </w:p>
    <w:p w:rsidR="00C301A2" w:rsidRDefault="00D43C36" w:rsidP="001024B0">
      <w:pPr>
        <w:jc w:val="both"/>
        <w:rPr>
          <w:rFonts w:ascii="Palatino Linotype" w:eastAsia="Palatino Linotype" w:hAnsi="Palatino Linotype" w:cs="Palatino Linotype"/>
        </w:rPr>
      </w:pPr>
      <w:r>
        <w:rPr>
          <w:rFonts w:ascii="Palatino Linotype" w:eastAsia="Palatino Linotype" w:hAnsi="Palatino Linotype" w:cs="Palatino Linotype"/>
        </w:rPr>
        <w:t>В зависимост от степента на ангажираност на отделните структурни звена в процеса по подпомагане и реализиране на ангажиментите на кмета на общината по управление на отпадъците, функциите се групират по следния начин:</w:t>
      </w:r>
    </w:p>
    <w:p w:rsidR="00C301A2" w:rsidRDefault="00D43C36">
      <w:pPr>
        <w:numPr>
          <w:ilvl w:val="0"/>
          <w:numId w:val="6"/>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Основни функции – включват се дейности по подпомагане и/или осъществяване на определено правомощие, политика, стратегия, програма, план</w:t>
      </w:r>
    </w:p>
    <w:p w:rsidR="00C301A2" w:rsidRDefault="00D43C36">
      <w:pPr>
        <w:numPr>
          <w:ilvl w:val="0"/>
          <w:numId w:val="6"/>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Спомагателни функции – включват се дейности по съдействие, координация, техническа помощ и пр. при осъществяване на основните функции</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Основните функции по осъществяване политиката по управление на отпадъците в Столична община са вменени на </w:t>
      </w:r>
      <w:r>
        <w:t xml:space="preserve">     </w:t>
      </w:r>
      <w:r>
        <w:rPr>
          <w:rFonts w:ascii="Palatino Linotype" w:eastAsia="Palatino Linotype" w:hAnsi="Palatino Linotype" w:cs="Palatino Linotype"/>
        </w:rPr>
        <w:t>Дирекция „Планиране и организиране на дейности по отпадъци” — част от специализираната администрация. Политиката по управление на отпадъците се обезпечава правно, финансово, административно и пр. чрез спомагателни функции, възложени на други звена от общата и специализирана администрация.</w:t>
      </w:r>
    </w:p>
    <w:p w:rsidR="00C301A2" w:rsidRDefault="00D43C36">
      <w:pPr>
        <w:jc w:val="both"/>
        <w:rPr>
          <w:rFonts w:ascii="Palatino Linotype" w:eastAsia="Palatino Linotype" w:hAnsi="Palatino Linotype" w:cs="Palatino Linotype"/>
        </w:rPr>
      </w:pPr>
      <w:r>
        <w:rPr>
          <w:noProof/>
          <w:lang w:val="en-GB" w:eastAsia="en-GB"/>
        </w:rPr>
        <mc:AlternateContent>
          <mc:Choice Requires="wpg">
            <w:drawing>
              <wp:inline distT="0" distB="0" distL="0" distR="0">
                <wp:extent cx="5219700" cy="3101340"/>
                <wp:effectExtent l="0" t="0" r="0" b="3810"/>
                <wp:docPr id="32" name="Group 32"/>
                <wp:cNvGraphicFramePr/>
                <a:graphic xmlns:a="http://schemas.openxmlformats.org/drawingml/2006/main">
                  <a:graphicData uri="http://schemas.microsoft.com/office/word/2010/wordprocessingGroup">
                    <wpg:wgp>
                      <wpg:cNvGrpSpPr/>
                      <wpg:grpSpPr>
                        <a:xfrm>
                          <a:off x="0" y="0"/>
                          <a:ext cx="5219700" cy="3101340"/>
                          <a:chOff x="2954590" y="2176237"/>
                          <a:chExt cx="4782820" cy="3207526"/>
                        </a:xfrm>
                      </wpg:grpSpPr>
                      <wpg:grpSp>
                        <wpg:cNvPr id="1" name="Group 1"/>
                        <wpg:cNvGrpSpPr/>
                        <wpg:grpSpPr>
                          <a:xfrm>
                            <a:off x="2954590" y="2176237"/>
                            <a:ext cx="4782820" cy="3207526"/>
                            <a:chOff x="2954590" y="2179165"/>
                            <a:chExt cx="4782820" cy="3201670"/>
                          </a:xfrm>
                        </wpg:grpSpPr>
                        <wps:wsp>
                          <wps:cNvPr id="2" name="Rectangle 2"/>
                          <wps:cNvSpPr/>
                          <wps:spPr>
                            <a:xfrm>
                              <a:off x="2954590" y="2179165"/>
                              <a:ext cx="4782800" cy="3201650"/>
                            </a:xfrm>
                            <a:prstGeom prst="rect">
                              <a:avLst/>
                            </a:prstGeom>
                            <a:noFill/>
                            <a:ln>
                              <a:noFill/>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954590" y="2179165"/>
                              <a:ext cx="4782820" cy="3201670"/>
                              <a:chOff x="0" y="0"/>
                              <a:chExt cx="4782800" cy="3201650"/>
                            </a:xfrm>
                          </wpg:grpSpPr>
                          <wps:wsp>
                            <wps:cNvPr id="4" name="Rectangle 4"/>
                            <wps:cNvSpPr/>
                            <wps:spPr>
                              <a:xfrm>
                                <a:off x="0" y="0"/>
                                <a:ext cx="4782800" cy="3201650"/>
                              </a:xfrm>
                              <a:prstGeom prst="rect">
                                <a:avLst/>
                              </a:prstGeom>
                              <a:noFill/>
                              <a:ln>
                                <a:noFill/>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0" y="0"/>
                                <a:ext cx="4782800" cy="3201650"/>
                                <a:chOff x="0" y="0"/>
                                <a:chExt cx="4782800" cy="3201650"/>
                              </a:xfrm>
                            </wpg:grpSpPr>
                            <wps:wsp>
                              <wps:cNvPr id="6" name="Rectangle 6"/>
                              <wps:cNvSpPr/>
                              <wps:spPr>
                                <a:xfrm>
                                  <a:off x="0" y="0"/>
                                  <a:ext cx="4782800" cy="3201650"/>
                                </a:xfrm>
                                <a:prstGeom prst="rect">
                                  <a:avLst/>
                                </a:prstGeom>
                                <a:noFill/>
                                <a:ln>
                                  <a:noFill/>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7" name="Freeform: Shape 7"/>
                              <wps:cNvSpPr/>
                              <wps:spPr>
                                <a:xfrm>
                                  <a:off x="1914742" y="2336478"/>
                                  <a:ext cx="873309" cy="200067"/>
                                </a:xfrm>
                                <a:custGeom>
                                  <a:avLst/>
                                  <a:gdLst/>
                                  <a:ahLst/>
                                  <a:cxnLst/>
                                  <a:rect l="l" t="t" r="r" b="b"/>
                                  <a:pathLst>
                                    <a:path w="120000" h="120000" extrusionOk="0">
                                      <a:moveTo>
                                        <a:pt x="0" y="0"/>
                                      </a:moveTo>
                                      <a:lnTo>
                                        <a:pt x="0" y="60476"/>
                                      </a:lnTo>
                                      <a:lnTo>
                                        <a:pt x="120000" y="60476"/>
                                      </a:lnTo>
                                      <a:lnTo>
                                        <a:pt x="120000" y="120000"/>
                                      </a:lnTo>
                                    </a:path>
                                  </a:pathLst>
                                </a:custGeom>
                                <a:noFill/>
                                <a:ln w="12700" cap="flat" cmpd="sng">
                                  <a:solidFill>
                                    <a:srgbClr val="3A66B1"/>
                                  </a:solidFill>
                                  <a:prstDash val="solid"/>
                                  <a:miter lim="800000"/>
                                  <a:headEnd type="none" w="sm" len="sm"/>
                                  <a:tailEnd type="none" w="sm" len="sm"/>
                                </a:ln>
                              </wps:spPr>
                              <wps:bodyPr spcFirstLastPara="1" wrap="square" lIns="91425" tIns="91425" rIns="91425" bIns="91425" anchor="ctr" anchorCtr="0">
                                <a:noAutofit/>
                              </wps:bodyPr>
                            </wps:wsp>
                            <wps:wsp>
                              <wps:cNvPr id="8" name="Freeform: Shape 8"/>
                              <wps:cNvSpPr/>
                              <wps:spPr>
                                <a:xfrm>
                                  <a:off x="1041432" y="2336478"/>
                                  <a:ext cx="873309" cy="200067"/>
                                </a:xfrm>
                                <a:custGeom>
                                  <a:avLst/>
                                  <a:gdLst/>
                                  <a:ahLst/>
                                  <a:cxnLst/>
                                  <a:rect l="l" t="t" r="r" b="b"/>
                                  <a:pathLst>
                                    <a:path w="120000" h="120000" extrusionOk="0">
                                      <a:moveTo>
                                        <a:pt x="120000" y="0"/>
                                      </a:moveTo>
                                      <a:lnTo>
                                        <a:pt x="120000" y="60476"/>
                                      </a:lnTo>
                                      <a:lnTo>
                                        <a:pt x="0" y="60476"/>
                                      </a:lnTo>
                                      <a:lnTo>
                                        <a:pt x="0" y="120000"/>
                                      </a:lnTo>
                                    </a:path>
                                  </a:pathLst>
                                </a:custGeom>
                                <a:noFill/>
                                <a:ln w="12700" cap="flat" cmpd="sng">
                                  <a:solidFill>
                                    <a:srgbClr val="3A66B1"/>
                                  </a:solidFill>
                                  <a:prstDash val="solid"/>
                                  <a:miter lim="800000"/>
                                  <a:headEnd type="none" w="sm" len="sm"/>
                                  <a:tailEnd type="none" w="sm" len="sm"/>
                                </a:ln>
                              </wps:spPr>
                              <wps:bodyPr spcFirstLastPara="1" wrap="square" lIns="91425" tIns="91425" rIns="91425" bIns="91425" anchor="ctr" anchorCtr="0">
                                <a:noAutofit/>
                              </wps:bodyPr>
                            </wps:wsp>
                            <wps:wsp>
                              <wps:cNvPr id="9" name="Freeform: Shape 9"/>
                              <wps:cNvSpPr/>
                              <wps:spPr>
                                <a:xfrm>
                                  <a:off x="1869022" y="1501277"/>
                                  <a:ext cx="91440" cy="200067"/>
                                </a:xfrm>
                                <a:custGeom>
                                  <a:avLst/>
                                  <a:gdLst/>
                                  <a:ahLst/>
                                  <a:cxnLst/>
                                  <a:rect l="l" t="t" r="r" b="b"/>
                                  <a:pathLst>
                                    <a:path w="120000" h="120000" extrusionOk="0">
                                      <a:moveTo>
                                        <a:pt x="60000" y="0"/>
                                      </a:moveTo>
                                      <a:lnTo>
                                        <a:pt x="60000" y="120000"/>
                                      </a:lnTo>
                                    </a:path>
                                  </a:pathLst>
                                </a:custGeom>
                                <a:noFill/>
                                <a:ln w="12700" cap="flat" cmpd="sng">
                                  <a:solidFill>
                                    <a:srgbClr val="3A66B1"/>
                                  </a:solidFill>
                                  <a:prstDash val="solid"/>
                                  <a:miter lim="800000"/>
                                  <a:headEnd type="none" w="sm" len="sm"/>
                                  <a:tailEnd type="none" w="sm" len="sm"/>
                                </a:ln>
                              </wps:spPr>
                              <wps:bodyPr spcFirstLastPara="1" wrap="square" lIns="91425" tIns="91425" rIns="91425" bIns="91425" anchor="ctr" anchorCtr="0">
                                <a:noAutofit/>
                              </wps:bodyPr>
                            </wps:wsp>
                            <wps:wsp>
                              <wps:cNvPr id="10" name="Freeform: Shape 10"/>
                              <wps:cNvSpPr/>
                              <wps:spPr>
                                <a:xfrm>
                                  <a:off x="1869022" y="666076"/>
                                  <a:ext cx="91440" cy="200067"/>
                                </a:xfrm>
                                <a:custGeom>
                                  <a:avLst/>
                                  <a:gdLst/>
                                  <a:ahLst/>
                                  <a:cxnLst/>
                                  <a:rect l="l" t="t" r="r" b="b"/>
                                  <a:pathLst>
                                    <a:path w="120000" h="120000" extrusionOk="0">
                                      <a:moveTo>
                                        <a:pt x="60000" y="0"/>
                                      </a:moveTo>
                                      <a:lnTo>
                                        <a:pt x="60000" y="120000"/>
                                      </a:lnTo>
                                    </a:path>
                                  </a:pathLst>
                                </a:custGeom>
                                <a:noFill/>
                                <a:ln w="12700" cap="flat" cmpd="sng">
                                  <a:solidFill>
                                    <a:srgbClr val="345A99"/>
                                  </a:solidFill>
                                  <a:prstDash val="solid"/>
                                  <a:miter lim="800000"/>
                                  <a:headEnd type="none" w="sm" len="sm"/>
                                  <a:tailEnd type="none" w="sm" len="sm"/>
                                </a:ln>
                              </wps:spPr>
                              <wps:bodyPr spcFirstLastPara="1" wrap="square" lIns="91425" tIns="91425" rIns="91425" bIns="91425" anchor="ctr" anchorCtr="0">
                                <a:noAutofit/>
                              </wps:bodyPr>
                            </wps:wsp>
                            <wps:wsp>
                              <wps:cNvPr id="11" name="Oval 11"/>
                              <wps:cNvSpPr/>
                              <wps:spPr>
                                <a:xfrm>
                                  <a:off x="1597175" y="30942"/>
                                  <a:ext cx="635133" cy="635133"/>
                                </a:xfrm>
                                <a:prstGeom prst="ellipse">
                                  <a:avLst/>
                                </a:prstGeom>
                                <a:blipFill rotWithShape="1">
                                  <a:blip r:embed="rId8">
                                    <a:alphaModFix/>
                                  </a:blip>
                                  <a:stretch>
                                    <a:fillRect/>
                                  </a:stretch>
                                </a:blipFill>
                                <a:ln>
                                  <a:noFill/>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12" name="Rectangle 12"/>
                              <wps:cNvSpPr/>
                              <wps:spPr>
                                <a:xfrm>
                                  <a:off x="2232309" y="29354"/>
                                  <a:ext cx="952700" cy="635133"/>
                                </a:xfrm>
                                <a:prstGeom prst="rect">
                                  <a:avLst/>
                                </a:prstGeom>
                                <a:noFill/>
                                <a:ln w="9525" cap="flat" cmpd="sng">
                                  <a:solidFill>
                                    <a:srgbClr val="000000"/>
                                  </a:solidFill>
                                  <a:prstDash val="solid"/>
                                  <a:miter lim="800000"/>
                                  <a:headEnd type="none" w="sm" len="sm"/>
                                  <a:tailEnd type="none" w="sm" len="sm"/>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13" name="Rectangle 13"/>
                              <wps:cNvSpPr/>
                              <wps:spPr>
                                <a:xfrm>
                                  <a:off x="2232309" y="29354"/>
                                  <a:ext cx="952700" cy="635133"/>
                                </a:xfrm>
                                <a:prstGeom prst="rect">
                                  <a:avLst/>
                                </a:prstGeom>
                                <a:noFill/>
                                <a:ln>
                                  <a:noFill/>
                                </a:ln>
                              </wps:spPr>
                              <wps:txbx>
                                <w:txbxContent>
                                  <w:p w:rsidR="00C301A2" w:rsidRDefault="00D43C36">
                                    <w:pPr>
                                      <w:spacing w:after="0" w:line="215" w:lineRule="auto"/>
                                      <w:jc w:val="center"/>
                                      <w:textDirection w:val="btLr"/>
                                    </w:pPr>
                                    <w:r>
                                      <w:rPr>
                                        <w:rFonts w:ascii="Times New Roman" w:eastAsia="Times New Roman" w:hAnsi="Times New Roman" w:cs="Times New Roman"/>
                                        <w:b/>
                                        <w:color w:val="000000"/>
                                        <w:sz w:val="21"/>
                                      </w:rPr>
                                      <w:t>Кмет на Столична община</w:t>
                                    </w:r>
                                  </w:p>
                                </w:txbxContent>
                              </wps:txbx>
                              <wps:bodyPr spcFirstLastPara="1" wrap="square" lIns="41900" tIns="41900" rIns="41900" bIns="41900" anchor="ctr" anchorCtr="0">
                                <a:noAutofit/>
                              </wps:bodyPr>
                            </wps:wsp>
                            <wps:wsp>
                              <wps:cNvPr id="14" name="Oval 14"/>
                              <wps:cNvSpPr/>
                              <wps:spPr>
                                <a:xfrm>
                                  <a:off x="1597175" y="866143"/>
                                  <a:ext cx="635133" cy="635133"/>
                                </a:xfrm>
                                <a:prstGeom prst="ellipse">
                                  <a:avLst/>
                                </a:prstGeom>
                                <a:blipFill rotWithShape="1">
                                  <a:blip r:embed="rId8">
                                    <a:alphaModFix/>
                                  </a:blip>
                                  <a:stretch>
                                    <a:fillRect/>
                                  </a:stretch>
                                </a:blipFill>
                                <a:ln>
                                  <a:noFill/>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15" name="Rectangle 15"/>
                              <wps:cNvSpPr/>
                              <wps:spPr>
                                <a:xfrm>
                                  <a:off x="2232309" y="864556"/>
                                  <a:ext cx="952700" cy="635133"/>
                                </a:xfrm>
                                <a:prstGeom prst="rect">
                                  <a:avLst/>
                                </a:prstGeom>
                                <a:noFill/>
                                <a:ln w="9525" cap="flat" cmpd="sng">
                                  <a:solidFill>
                                    <a:srgbClr val="000000"/>
                                  </a:solidFill>
                                  <a:prstDash val="solid"/>
                                  <a:miter lim="800000"/>
                                  <a:headEnd type="none" w="sm" len="sm"/>
                                  <a:tailEnd type="none" w="sm" len="sm"/>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16" name="Rectangle 16"/>
                              <wps:cNvSpPr/>
                              <wps:spPr>
                                <a:xfrm>
                                  <a:off x="2232309" y="864556"/>
                                  <a:ext cx="952700" cy="635133"/>
                                </a:xfrm>
                                <a:prstGeom prst="rect">
                                  <a:avLst/>
                                </a:prstGeom>
                                <a:noFill/>
                                <a:ln>
                                  <a:noFill/>
                                </a:ln>
                              </wps:spPr>
                              <wps:txbx>
                                <w:txbxContent>
                                  <w:p w:rsidR="00C301A2" w:rsidRDefault="00D43C36">
                                    <w:pPr>
                                      <w:spacing w:after="0" w:line="215" w:lineRule="auto"/>
                                      <w:jc w:val="center"/>
                                      <w:textDirection w:val="btLr"/>
                                    </w:pPr>
                                    <w:r>
                                      <w:rPr>
                                        <w:rFonts w:ascii="Calibri" w:eastAsia="Calibri" w:hAnsi="Calibri" w:cs="Calibri"/>
                                        <w:b/>
                                        <w:color w:val="000000"/>
                                        <w:sz w:val="20"/>
                                      </w:rPr>
                                      <w:t xml:space="preserve"> </w:t>
                                    </w:r>
                                    <w:r>
                                      <w:rPr>
                                        <w:rFonts w:ascii="Times New Roman" w:eastAsia="Times New Roman" w:hAnsi="Times New Roman" w:cs="Times New Roman"/>
                                        <w:b/>
                                        <w:color w:val="000000"/>
                                        <w:sz w:val="20"/>
                                      </w:rPr>
                                      <w:t>Зам.-кмет по Направление "Зелена система, екология и земеползване"</w:t>
                                    </w:r>
                                  </w:p>
                                </w:txbxContent>
                              </wps:txbx>
                              <wps:bodyPr spcFirstLastPara="1" wrap="square" lIns="38100" tIns="38100" rIns="38100" bIns="38100" anchor="ctr" anchorCtr="0">
                                <a:noAutofit/>
                              </wps:bodyPr>
                            </wps:wsp>
                            <wps:wsp>
                              <wps:cNvPr id="17" name="Oval 17"/>
                              <wps:cNvSpPr/>
                              <wps:spPr>
                                <a:xfrm>
                                  <a:off x="1597175" y="1701345"/>
                                  <a:ext cx="635133" cy="635133"/>
                                </a:xfrm>
                                <a:prstGeom prst="ellipse">
                                  <a:avLst/>
                                </a:prstGeom>
                                <a:blipFill rotWithShape="1">
                                  <a:blip r:embed="rId9">
                                    <a:alphaModFix/>
                                  </a:blip>
                                  <a:stretch>
                                    <a:fillRect/>
                                  </a:stretch>
                                </a:blipFill>
                                <a:ln>
                                  <a:noFill/>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18" name="Rectangle 18"/>
                              <wps:cNvSpPr/>
                              <wps:spPr>
                                <a:xfrm>
                                  <a:off x="2232309" y="1699757"/>
                                  <a:ext cx="952700" cy="635133"/>
                                </a:xfrm>
                                <a:prstGeom prst="rect">
                                  <a:avLst/>
                                </a:prstGeom>
                                <a:noFill/>
                                <a:ln w="9525" cap="flat" cmpd="sng">
                                  <a:solidFill>
                                    <a:srgbClr val="000000"/>
                                  </a:solidFill>
                                  <a:prstDash val="solid"/>
                                  <a:miter lim="800000"/>
                                  <a:headEnd type="none" w="sm" len="sm"/>
                                  <a:tailEnd type="none" w="sm" len="sm"/>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19" name="Rectangle 19"/>
                              <wps:cNvSpPr/>
                              <wps:spPr>
                                <a:xfrm>
                                  <a:off x="2232308" y="1699757"/>
                                  <a:ext cx="1491951" cy="635133"/>
                                </a:xfrm>
                                <a:prstGeom prst="rect">
                                  <a:avLst/>
                                </a:prstGeom>
                                <a:noFill/>
                                <a:ln>
                                  <a:noFill/>
                                </a:ln>
                              </wps:spPr>
                              <wps:txbx>
                                <w:txbxContent>
                                  <w:p w:rsidR="00C301A2" w:rsidRDefault="00D43C36">
                                    <w:pPr>
                                      <w:spacing w:after="0" w:line="215" w:lineRule="auto"/>
                                      <w:jc w:val="center"/>
                                      <w:textDirection w:val="btLr"/>
                                    </w:pPr>
                                    <w:r>
                                      <w:rPr>
                                        <w:rFonts w:ascii="Times New Roman" w:eastAsia="Times New Roman" w:hAnsi="Times New Roman" w:cs="Times New Roman"/>
                                        <w:b/>
                                        <w:color w:val="000000"/>
                                        <w:sz w:val="20"/>
                                      </w:rPr>
                                      <w:t>Дирекция “Планиране и управление на дейности по отпадъци"</w:t>
                                    </w:r>
                                  </w:p>
                                </w:txbxContent>
                              </wps:txbx>
                              <wps:bodyPr spcFirstLastPara="1" wrap="square" lIns="38100" tIns="38100" rIns="38100" bIns="38100" anchor="ctr" anchorCtr="0">
                                <a:noAutofit/>
                              </wps:bodyPr>
                            </wps:wsp>
                            <wps:wsp>
                              <wps:cNvPr id="20" name="Oval 20"/>
                              <wps:cNvSpPr/>
                              <wps:spPr>
                                <a:xfrm>
                                  <a:off x="723865" y="2536546"/>
                                  <a:ext cx="635133" cy="635133"/>
                                </a:xfrm>
                                <a:prstGeom prst="ellipse">
                                  <a:avLst/>
                                </a:prstGeom>
                                <a:blipFill rotWithShape="1">
                                  <a:blip r:embed="rId9">
                                    <a:alphaModFix/>
                                  </a:blip>
                                  <a:stretch>
                                    <a:fillRect/>
                                  </a:stretch>
                                </a:blipFill>
                                <a:ln>
                                  <a:noFill/>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21" name="Rectangle 21"/>
                              <wps:cNvSpPr/>
                              <wps:spPr>
                                <a:xfrm>
                                  <a:off x="1358999" y="2534958"/>
                                  <a:ext cx="952700" cy="635133"/>
                                </a:xfrm>
                                <a:prstGeom prst="rect">
                                  <a:avLst/>
                                </a:prstGeom>
                                <a:noFill/>
                                <a:ln w="9525" cap="flat" cmpd="sng">
                                  <a:solidFill>
                                    <a:srgbClr val="000000"/>
                                  </a:solidFill>
                                  <a:prstDash val="solid"/>
                                  <a:miter lim="800000"/>
                                  <a:headEnd type="none" w="sm" len="sm"/>
                                  <a:tailEnd type="none" w="sm" len="sm"/>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22" name="Rectangle 22"/>
                              <wps:cNvSpPr/>
                              <wps:spPr>
                                <a:xfrm>
                                  <a:off x="1358999" y="2534958"/>
                                  <a:ext cx="952700" cy="635133"/>
                                </a:xfrm>
                                <a:prstGeom prst="rect">
                                  <a:avLst/>
                                </a:prstGeom>
                                <a:noFill/>
                                <a:ln>
                                  <a:noFill/>
                                </a:ln>
                              </wps:spPr>
                              <wps:txbx>
                                <w:txbxContent>
                                  <w:p w:rsidR="00C301A2" w:rsidRDefault="00D43C36">
                                    <w:pPr>
                                      <w:spacing w:after="0" w:line="215" w:lineRule="auto"/>
                                      <w:jc w:val="center"/>
                                      <w:textDirection w:val="btLr"/>
                                    </w:pPr>
                                    <w:r>
                                      <w:rPr>
                                        <w:rFonts w:ascii="Times New Roman" w:eastAsia="Times New Roman" w:hAnsi="Times New Roman" w:cs="Times New Roman"/>
                                        <w:b/>
                                        <w:color w:val="000000"/>
                                        <w:sz w:val="20"/>
                                      </w:rPr>
                                      <w:t>Отдел "Инсталации и съоръжения"</w:t>
                                    </w:r>
                                  </w:p>
                                </w:txbxContent>
                              </wps:txbx>
                              <wps:bodyPr spcFirstLastPara="1" wrap="square" lIns="38100" tIns="38100" rIns="38100" bIns="38100" anchor="ctr" anchorCtr="0">
                                <a:noAutofit/>
                              </wps:bodyPr>
                            </wps:wsp>
                            <wps:wsp>
                              <wps:cNvPr id="23" name="Oval 23"/>
                              <wps:cNvSpPr/>
                              <wps:spPr>
                                <a:xfrm>
                                  <a:off x="2470484" y="2536546"/>
                                  <a:ext cx="635133" cy="635133"/>
                                </a:xfrm>
                                <a:prstGeom prst="ellipse">
                                  <a:avLst/>
                                </a:prstGeom>
                                <a:blipFill rotWithShape="1">
                                  <a:blip r:embed="rId9">
                                    <a:alphaModFix/>
                                  </a:blip>
                                  <a:stretch>
                                    <a:fillRect/>
                                  </a:stretch>
                                </a:blipFill>
                                <a:ln>
                                  <a:noFill/>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24" name="Rectangle 24"/>
                              <wps:cNvSpPr/>
                              <wps:spPr>
                                <a:xfrm>
                                  <a:off x="3105618" y="2534958"/>
                                  <a:ext cx="952700" cy="635133"/>
                                </a:xfrm>
                                <a:prstGeom prst="rect">
                                  <a:avLst/>
                                </a:prstGeom>
                                <a:noFill/>
                                <a:ln w="9525" cap="flat" cmpd="sng">
                                  <a:solidFill>
                                    <a:srgbClr val="000000"/>
                                  </a:solidFill>
                                  <a:prstDash val="solid"/>
                                  <a:miter lim="800000"/>
                                  <a:headEnd type="none" w="sm" len="sm"/>
                                  <a:tailEnd type="none" w="sm" len="sm"/>
                                </a:ln>
                              </wps:spPr>
                              <wps:txbx>
                                <w:txbxContent>
                                  <w:p w:rsidR="00C301A2" w:rsidRDefault="00C301A2">
                                    <w:pPr>
                                      <w:spacing w:after="0" w:line="240" w:lineRule="auto"/>
                                      <w:textDirection w:val="btLr"/>
                                    </w:pPr>
                                  </w:p>
                                </w:txbxContent>
                              </wps:txbx>
                              <wps:bodyPr spcFirstLastPara="1" wrap="square" lIns="91425" tIns="91425" rIns="91425" bIns="91425" anchor="ctr" anchorCtr="0">
                                <a:noAutofit/>
                              </wps:bodyPr>
                            </wps:wsp>
                            <wps:wsp>
                              <wps:cNvPr id="25" name="Rectangle 25"/>
                              <wps:cNvSpPr/>
                              <wps:spPr>
                                <a:xfrm>
                                  <a:off x="3105617" y="2534958"/>
                                  <a:ext cx="1561612" cy="635133"/>
                                </a:xfrm>
                                <a:prstGeom prst="rect">
                                  <a:avLst/>
                                </a:prstGeom>
                                <a:noFill/>
                                <a:ln>
                                  <a:noFill/>
                                </a:ln>
                              </wps:spPr>
                              <wps:txbx>
                                <w:txbxContent>
                                  <w:p w:rsidR="00C301A2" w:rsidRDefault="00D43C36">
                                    <w:pPr>
                                      <w:spacing w:after="0" w:line="215" w:lineRule="auto"/>
                                      <w:jc w:val="center"/>
                                      <w:textDirection w:val="btLr"/>
                                    </w:pPr>
                                    <w:r>
                                      <w:rPr>
                                        <w:rFonts w:ascii="Times New Roman" w:eastAsia="Times New Roman" w:hAnsi="Times New Roman" w:cs="Times New Roman"/>
                                        <w:b/>
                                        <w:color w:val="000000"/>
                                        <w:sz w:val="20"/>
                                      </w:rPr>
                                      <w:t>Отдел "Планиране и организиране на дейности по отпадъци"</w:t>
                                    </w:r>
                                  </w:p>
                                </w:txbxContent>
                              </wps:txbx>
                              <wps:bodyPr spcFirstLastPara="1" wrap="square" lIns="38100" tIns="38100" rIns="38100" bIns="38100" anchor="ctr" anchorCtr="0">
                                <a:noAutofit/>
                              </wps:bodyPr>
                            </wps:wsp>
                          </wpg:grpSp>
                        </wpg:grpSp>
                      </wpg:grpSp>
                    </wpg:wgp>
                  </a:graphicData>
                </a:graphic>
              </wp:inline>
            </w:drawing>
          </mc:Choice>
          <mc:Fallback>
            <w:pict>
              <v:group id="Group 32" o:spid="_x0000_s1026" style="width:411pt;height:244.2pt;mso-position-horizontal-relative:char;mso-position-vertical-relative:line" coordorigin="29545,21762" coordsize="47828,32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">
                <v:group id="Group 1" o:spid="_x0000_s1027" style="position:absolute;left:29545;top:21762;width:47829;height:32075" coordorigin="29545,21791" coordsize="47828,32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9545;top:21791;width:47828;height:3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C301A2" w:rsidRDefault="00C301A2">
                          <w:pPr>
                            <w:spacing w:after="0" w:line="240" w:lineRule="auto"/>
                            <w:textDirection w:val="btLr"/>
                          </w:pPr>
                        </w:p>
                      </w:txbxContent>
                    </v:textbox>
                  </v:rect>
                  <v:group id="Group 3" o:spid="_x0000_s1029" style="position:absolute;left:29545;top:21791;width:47829;height:32017" coordsize="47828,32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width:47828;height:3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C301A2" w:rsidRDefault="00C301A2">
                            <w:pPr>
                              <w:spacing w:after="0" w:line="240" w:lineRule="auto"/>
                              <w:textDirection w:val="btLr"/>
                            </w:pPr>
                          </w:p>
                        </w:txbxContent>
                      </v:textbox>
                    </v:rect>
                    <v:group id="Group 5" o:spid="_x0000_s1031" style="position:absolute;width:47828;height:32016" coordsize="47828,32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width:47828;height:3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rsidR="00C301A2" w:rsidRDefault="00C301A2">
                              <w:pPr>
                                <w:spacing w:after="0" w:line="240" w:lineRule="auto"/>
                                <w:textDirection w:val="btLr"/>
                              </w:pPr>
                            </w:p>
                          </w:txbxContent>
                        </v:textbox>
                      </v:rect>
                      <v:shape id="Freeform: Shape 7" o:spid="_x0000_s1033" style="position:absolute;left:19147;top:23364;width:8733;height:2001;visibility:visible;mso-wrap-style:square;v-text-anchor:middle" coordsize="12000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" path="m,l,60476r120000,l120000,120000e" filled="f" strokecolor="#3a66b1" strokeweight="1pt">
                        <v:stroke startarrowwidth="narrow" startarrowlength="short" endarrowwidth="narrow" endarrowlength="short" joinstyle="miter"/>
                        <v:path arrowok="t" o:extrusionok="f"/>
                      </v:shape>
                      <v:shape id="Freeform: Shape 8" o:spid="_x0000_s1034" style="position:absolute;left:10414;top:23364;width:8733;height:2001;visibility:visible;mso-wrap-style:square;v-text-anchor:middle" coordsize="12000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" path="m120000,r,60476l,60476r,59524e" filled="f" strokecolor="#3a66b1" strokeweight="1pt">
                        <v:stroke startarrowwidth="narrow" startarrowlength="short" endarrowwidth="narrow" endarrowlength="short" joinstyle="miter"/>
                        <v:path arrowok="t" o:extrusionok="f"/>
                      </v:shape>
                      <v:shape id="Freeform: Shape 9" o:spid="_x0000_s1035" style="position:absolute;left:18690;top:15012;width:914;height:2001;visibility:visible;mso-wrap-style:square;v-text-anchor:middle" coordsize="12000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" path="m60000,r,120000e" filled="f" strokecolor="#3a66b1" strokeweight="1pt">
                        <v:stroke startarrowwidth="narrow" startarrowlength="short" endarrowwidth="narrow" endarrowlength="short" joinstyle="miter"/>
                        <v:path arrowok="t" o:extrusionok="f"/>
                      </v:shape>
                      <v:shape id="Freeform: Shape 10" o:spid="_x0000_s1036" style="position:absolute;left:18690;top:6660;width:914;height:2001;visibility:visible;mso-wrap-style:square;v-text-anchor:middle" coordsize="12000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" path="m60000,r,120000e" filled="f" strokecolor="#345a99" strokeweight="1pt">
                        <v:stroke startarrowwidth="narrow" startarrowlength="short" endarrowwidth="narrow" endarrowlength="short" joinstyle="miter"/>
                        <v:path arrowok="t" o:extrusionok="f"/>
                      </v:shape>
                      <v:oval id="Oval 11" o:spid="_x0000_s1037" style="position:absolute;left:15971;top:309;width:6352;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" stroked="f">
                        <v:fill r:id="rId10" o:title="" recolor="t" rotate="t" type="frame"/>
                        <v:textbox inset="2.53958mm,2.53958mm,2.53958mm,2.53958mm">
                          <w:txbxContent>
                            <w:p w:rsidR="00C301A2" w:rsidRDefault="00C301A2">
                              <w:pPr>
                                <w:spacing w:after="0" w:line="240" w:lineRule="auto"/>
                                <w:textDirection w:val="btLr"/>
                              </w:pPr>
                            </w:p>
                          </w:txbxContent>
                        </v:textbox>
                      </v:oval>
                      <v:rect id="Rectangle 12" o:spid="_x0000_s1038" style="position:absolute;left:22323;top:293;width:9527;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" filled="f">
                        <v:stroke startarrowwidth="narrow" startarrowlength="short" endarrowwidth="narrow" endarrowlength="short"/>
                        <v:textbox inset="2.53958mm,2.53958mm,2.53958mm,2.53958mm">
                          <w:txbxContent>
                            <w:p w:rsidR="00C301A2" w:rsidRDefault="00C301A2">
                              <w:pPr>
                                <w:spacing w:after="0" w:line="240" w:lineRule="auto"/>
                                <w:textDirection w:val="btLr"/>
                              </w:pPr>
                            </w:p>
                          </w:txbxContent>
                        </v:textbox>
                      </v:rect>
                      <v:rect id="Rectangle 13" o:spid="_x0000_s1039" style="position:absolute;left:22323;top:293;width:9527;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" filled="f" stroked="f">
                        <v:textbox inset="1.1639mm,1.1639mm,1.1639mm,1.1639mm">
                          <w:txbxContent>
                            <w:p w:rsidR="00C301A2" w:rsidRDefault="00D43C36">
                              <w:pPr>
                                <w:spacing w:after="0" w:line="215" w:lineRule="auto"/>
                                <w:jc w:val="center"/>
                                <w:textDirection w:val="btLr"/>
                              </w:pPr>
                              <w:r>
                                <w:rPr>
                                  <w:rFonts w:ascii="Times New Roman" w:eastAsia="Times New Roman" w:hAnsi="Times New Roman" w:cs="Times New Roman"/>
                                  <w:b/>
                                  <w:color w:val="000000"/>
                                  <w:sz w:val="21"/>
                                </w:rPr>
                                <w:t>Кмет на Столична община</w:t>
                              </w:r>
                            </w:p>
                          </w:txbxContent>
                        </v:textbox>
                      </v:rect>
                      <v:oval id="Oval 14" o:spid="_x0000_s1040" style="position:absolute;left:15971;top:8661;width:6352;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" stroked="f">
                        <v:fill r:id="rId10" o:title="" recolor="t" rotate="t" type="frame"/>
                        <v:textbox inset="2.53958mm,2.53958mm,2.53958mm,2.53958mm">
                          <w:txbxContent>
                            <w:p w:rsidR="00C301A2" w:rsidRDefault="00C301A2">
                              <w:pPr>
                                <w:spacing w:after="0" w:line="240" w:lineRule="auto"/>
                                <w:textDirection w:val="btLr"/>
                              </w:pPr>
                            </w:p>
                          </w:txbxContent>
                        </v:textbox>
                      </v:oval>
                      <v:rect id="Rectangle 15" o:spid="_x0000_s1041" style="position:absolute;left:22323;top:8645;width:9527;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" filled="f">
                        <v:stroke startarrowwidth="narrow" startarrowlength="short" endarrowwidth="narrow" endarrowlength="short"/>
                        <v:textbox inset="2.53958mm,2.53958mm,2.53958mm,2.53958mm">
                          <w:txbxContent>
                            <w:p w:rsidR="00C301A2" w:rsidRDefault="00C301A2">
                              <w:pPr>
                                <w:spacing w:after="0" w:line="240" w:lineRule="auto"/>
                                <w:textDirection w:val="btLr"/>
                              </w:pPr>
                            </w:p>
                          </w:txbxContent>
                        </v:textbox>
                      </v:rect>
                      <v:rect id="Rectangle 16" o:spid="_x0000_s1042" style="position:absolute;left:22323;top:8645;width:9527;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" filled="f" stroked="f">
                        <v:textbox inset="3pt,3pt,3pt,3pt">
                          <w:txbxContent>
                            <w:p w:rsidR="00C301A2" w:rsidRDefault="00D43C36">
                              <w:pPr>
                                <w:spacing w:after="0" w:line="215" w:lineRule="auto"/>
                                <w:jc w:val="center"/>
                                <w:textDirection w:val="btLr"/>
                              </w:pPr>
                              <w:r>
                                <w:rPr>
                                  <w:rFonts w:ascii="Calibri" w:eastAsia="Calibri" w:hAnsi="Calibri" w:cs="Calibri"/>
                                  <w:b/>
                                  <w:color w:val="000000"/>
                                  <w:sz w:val="20"/>
                                </w:rPr>
                                <w:t xml:space="preserve"> </w:t>
                              </w:r>
                              <w:r>
                                <w:rPr>
                                  <w:rFonts w:ascii="Times New Roman" w:eastAsia="Times New Roman" w:hAnsi="Times New Roman" w:cs="Times New Roman"/>
                                  <w:b/>
                                  <w:color w:val="000000"/>
                                  <w:sz w:val="20"/>
                                </w:rPr>
                                <w:t>Зам.-кмет по Направление "Зелена система, екология и земеползване"</w:t>
                              </w:r>
                            </w:p>
                          </w:txbxContent>
                        </v:textbox>
                      </v:rect>
                      <v:oval id="Oval 17" o:spid="_x0000_s1043" style="position:absolute;left:15971;top:17013;width:6352;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" stroked="f">
                        <v:fill r:id="rId11" o:title="" recolor="t" rotate="t" type="frame"/>
                        <v:textbox inset="2.53958mm,2.53958mm,2.53958mm,2.53958mm">
                          <w:txbxContent>
                            <w:p w:rsidR="00C301A2" w:rsidRDefault="00C301A2">
                              <w:pPr>
                                <w:spacing w:after="0" w:line="240" w:lineRule="auto"/>
                                <w:textDirection w:val="btLr"/>
                              </w:pPr>
                            </w:p>
                          </w:txbxContent>
                        </v:textbox>
                      </v:oval>
                      <v:rect id="Rectangle 18" o:spid="_x0000_s1044" style="position:absolute;left:22323;top:16997;width:9527;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" filled="f">
                        <v:stroke startarrowwidth="narrow" startarrowlength="short" endarrowwidth="narrow" endarrowlength="short"/>
                        <v:textbox inset="2.53958mm,2.53958mm,2.53958mm,2.53958mm">
                          <w:txbxContent>
                            <w:p w:rsidR="00C301A2" w:rsidRDefault="00C301A2">
                              <w:pPr>
                                <w:spacing w:after="0" w:line="240" w:lineRule="auto"/>
                                <w:textDirection w:val="btLr"/>
                              </w:pPr>
                            </w:p>
                          </w:txbxContent>
                        </v:textbox>
                      </v:rect>
                      <v:rect id="Rectangle 19" o:spid="_x0000_s1045" style="position:absolute;left:22323;top:16997;width:14919;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" filled="f" stroked="f">
                        <v:textbox inset="3pt,3pt,3pt,3pt">
                          <w:txbxContent>
                            <w:p w:rsidR="00C301A2" w:rsidRDefault="00D43C36">
                              <w:pPr>
                                <w:spacing w:after="0" w:line="215" w:lineRule="auto"/>
                                <w:jc w:val="center"/>
                                <w:textDirection w:val="btLr"/>
                              </w:pPr>
                              <w:r>
                                <w:rPr>
                                  <w:rFonts w:ascii="Times New Roman" w:eastAsia="Times New Roman" w:hAnsi="Times New Roman" w:cs="Times New Roman"/>
                                  <w:b/>
                                  <w:color w:val="000000"/>
                                  <w:sz w:val="20"/>
                                </w:rPr>
                                <w:t>Дирекция “Планиране и управление на дейности по отпадъци"</w:t>
                              </w:r>
                            </w:p>
                          </w:txbxContent>
                        </v:textbox>
                      </v:rect>
                      <v:oval id="Oval 20" o:spid="_x0000_s1046" style="position:absolute;left:7238;top:25365;width:6351;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" stroked="f">
                        <v:fill r:id="rId11" o:title="" recolor="t" rotate="t" type="frame"/>
                        <v:textbox inset="2.53958mm,2.53958mm,2.53958mm,2.53958mm">
                          <w:txbxContent>
                            <w:p w:rsidR="00C301A2" w:rsidRDefault="00C301A2">
                              <w:pPr>
                                <w:spacing w:after="0" w:line="240" w:lineRule="auto"/>
                                <w:textDirection w:val="btLr"/>
                              </w:pPr>
                            </w:p>
                          </w:txbxContent>
                        </v:textbox>
                      </v:oval>
                      <v:rect id="Rectangle 21" o:spid="_x0000_s1047" style="position:absolute;left:13589;top:25349;width:9527;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" filled="f">
                        <v:stroke startarrowwidth="narrow" startarrowlength="short" endarrowwidth="narrow" endarrowlength="short"/>
                        <v:textbox inset="2.53958mm,2.53958mm,2.53958mm,2.53958mm">
                          <w:txbxContent>
                            <w:p w:rsidR="00C301A2" w:rsidRDefault="00C301A2">
                              <w:pPr>
                                <w:spacing w:after="0" w:line="240" w:lineRule="auto"/>
                                <w:textDirection w:val="btLr"/>
                              </w:pPr>
                            </w:p>
                          </w:txbxContent>
                        </v:textbox>
                      </v:rect>
                      <v:rect id="Rectangle 22" o:spid="_x0000_s1048" style="position:absolute;left:13589;top:25349;width:9527;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" filled="f" stroked="f">
                        <v:textbox inset="3pt,3pt,3pt,3pt">
                          <w:txbxContent>
                            <w:p w:rsidR="00C301A2" w:rsidRDefault="00D43C36">
                              <w:pPr>
                                <w:spacing w:after="0" w:line="215" w:lineRule="auto"/>
                                <w:jc w:val="center"/>
                                <w:textDirection w:val="btLr"/>
                              </w:pPr>
                              <w:r>
                                <w:rPr>
                                  <w:rFonts w:ascii="Times New Roman" w:eastAsia="Times New Roman" w:hAnsi="Times New Roman" w:cs="Times New Roman"/>
                                  <w:b/>
                                  <w:color w:val="000000"/>
                                  <w:sz w:val="20"/>
                                </w:rPr>
                                <w:t>Отдел "Инсталации и съоръжения"</w:t>
                              </w:r>
                            </w:p>
                          </w:txbxContent>
                        </v:textbox>
                      </v:rect>
                      <v:oval id="Oval 23" o:spid="_x0000_s1049" style="position:absolute;left:24704;top:25365;width:6352;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" stroked="f">
                        <v:fill r:id="rId11" o:title="" recolor="t" rotate="t" type="frame"/>
                        <v:textbox inset="2.53958mm,2.53958mm,2.53958mm,2.53958mm">
                          <w:txbxContent>
                            <w:p w:rsidR="00C301A2" w:rsidRDefault="00C301A2">
                              <w:pPr>
                                <w:spacing w:after="0" w:line="240" w:lineRule="auto"/>
                                <w:textDirection w:val="btLr"/>
                              </w:pPr>
                            </w:p>
                          </w:txbxContent>
                        </v:textbox>
                      </v:oval>
                      <v:rect id="Rectangle 24" o:spid="_x0000_s1050" style="position:absolute;left:31056;top:25349;width:9527;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" filled="f">
                        <v:stroke startarrowwidth="narrow" startarrowlength="short" endarrowwidth="narrow" endarrowlength="short"/>
                        <v:textbox inset="2.53958mm,2.53958mm,2.53958mm,2.53958mm">
                          <w:txbxContent>
                            <w:p w:rsidR="00C301A2" w:rsidRDefault="00C301A2">
                              <w:pPr>
                                <w:spacing w:after="0" w:line="240" w:lineRule="auto"/>
                                <w:textDirection w:val="btLr"/>
                              </w:pPr>
                            </w:p>
                          </w:txbxContent>
                        </v:textbox>
                      </v:rect>
                      <v:rect id="Rectangle 25" o:spid="_x0000_s1051" style="position:absolute;left:31056;top:25349;width:15616;height:6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" filled="f" stroked="f">
                        <v:textbox inset="3pt,3pt,3pt,3pt">
                          <w:txbxContent>
                            <w:p w:rsidR="00C301A2" w:rsidRDefault="00D43C36">
                              <w:pPr>
                                <w:spacing w:after="0" w:line="215" w:lineRule="auto"/>
                                <w:jc w:val="center"/>
                                <w:textDirection w:val="btLr"/>
                              </w:pPr>
                              <w:r>
                                <w:rPr>
                                  <w:rFonts w:ascii="Times New Roman" w:eastAsia="Times New Roman" w:hAnsi="Times New Roman" w:cs="Times New Roman"/>
                                  <w:b/>
                                  <w:color w:val="000000"/>
                                  <w:sz w:val="20"/>
                                </w:rPr>
                                <w:t>Отдел "Планиране и организиране на дейности по отпадъци"</w:t>
                              </w:r>
                            </w:p>
                          </w:txbxContent>
                        </v:textbox>
                      </v:rect>
                    </v:group>
                  </v:group>
                </v:group>
                <w10:anchorlock/>
              </v:group>
            </w:pict>
          </mc:Fallback>
        </mc:AlternateContent>
      </w:r>
    </w:p>
    <w:p w:rsidR="00C301A2" w:rsidRDefault="00D43C36">
      <w:pPr>
        <w:jc w:val="both"/>
        <w:rPr>
          <w:rFonts w:ascii="Palatino Linotype" w:eastAsia="Palatino Linotype" w:hAnsi="Palatino Linotype" w:cs="Palatino Linotype"/>
          <w:i/>
        </w:rPr>
      </w:pPr>
      <w:r>
        <w:rPr>
          <w:rFonts w:ascii="Palatino Linotype" w:eastAsia="Palatino Linotype" w:hAnsi="Palatino Linotype" w:cs="Palatino Linotype"/>
          <w:i/>
        </w:rPr>
        <w:t>Фиг. 1. Органиграма за управление на отпадъците в администрацията на Столична община</w:t>
      </w:r>
    </w:p>
    <w:p w:rsidR="00C301A2" w:rsidRDefault="00C301A2">
      <w:pPr>
        <w:jc w:val="both"/>
        <w:rPr>
          <w:rFonts w:ascii="Palatino Linotype" w:eastAsia="Palatino Linotype" w:hAnsi="Palatino Linotype" w:cs="Palatino Linotype"/>
        </w:rPr>
      </w:pPr>
    </w:p>
    <w:p w:rsidR="00C301A2" w:rsidRDefault="00D43C36">
      <w:pPr>
        <w:numPr>
          <w:ilvl w:val="0"/>
          <w:numId w:val="31"/>
        </w:numPr>
        <w:jc w:val="both"/>
        <w:rPr>
          <w:rFonts w:ascii="Palatino Linotype" w:eastAsia="Palatino Linotype" w:hAnsi="Palatino Linotype" w:cs="Palatino Linotype"/>
          <w:i/>
          <w:color w:val="000000"/>
          <w:u w:val="single"/>
        </w:rPr>
      </w:pPr>
      <w:r>
        <w:rPr>
          <w:rFonts w:ascii="Palatino Linotype" w:eastAsia="Palatino Linotype" w:hAnsi="Palatino Linotype" w:cs="Palatino Linotype"/>
          <w:i/>
          <w:color w:val="000000"/>
          <w:u w:val="single"/>
        </w:rPr>
        <w:t>Основно ръководно звено</w:t>
      </w:r>
    </w:p>
    <w:p w:rsidR="00C301A2" w:rsidRDefault="00D43C36" w:rsidP="006350B3">
      <w:pPr>
        <w:jc w:val="both"/>
        <w:rPr>
          <w:rFonts w:ascii="Palatino Linotype" w:eastAsia="Palatino Linotype" w:hAnsi="Palatino Linotype" w:cs="Palatino Linotype"/>
        </w:rPr>
      </w:pPr>
      <w:bookmarkStart w:id="3" w:name="_heading=h.3rdcrjn" w:colFirst="0" w:colLast="0"/>
      <w:bookmarkEnd w:id="3"/>
      <w:r>
        <w:rPr>
          <w:rFonts w:ascii="Palatino Linotype" w:eastAsia="Palatino Linotype" w:hAnsi="Palatino Linotype" w:cs="Palatino Linotype"/>
        </w:rPr>
        <w:t>Съгласно ЗУО, управлението на отпадъците в общините е възложено на кметовете на общини. Кметът на Столична община:</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осигурява условия, при които всеки притежател на битови отпадъци се обслужва от лица, притежаващи документ издаден по реда на ЗУО, на които е предоставено право да извършват дейности по тяхното събиране и транспортиране;</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осигурява съдове за събиране на битовите отпадъци - контейнери, кофи, улични кошчета и други;</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осигурява събирането на битовите отпадъци и транспортирането им до инсталации и съоръжения за оползотворяването и/или обезвреждането им;</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отговаря за избора на площадка, изграждането, поддържането, експлоатацията, закриването и мониторинга на депата за битови отпадъци и/или на други инсталации или съоръжения за оползотворяване и обезвреждане на битовите отпадъци на територията на Столична община;</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определя съоръженията за оползотворяване и/или обезвреждане на територията на Столична община, до които да бъдат транспортирани битовите отпадъци, като съвместно с кметовете на райони и Столичен инспекторат създава организация за дейностите и контролира изпълнението им;</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система за разделно събиране на опасни отпадъци от домакинствата, като сключва договор с лица притежаващи разрешение и регистрационен документ, издадени по реда на ЗУО, за извършване на дейности по събиране, транспортиране и третиране на опасни отпадъци</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общинска система за разделно събиране на биоотпадъци от поддържане на обществени площи, паркове, градини, междублокови пространства, хранителни и кухненски отпадъци от ресторанти, заведения за обществено хранене, търговски и др. обекти на територията на общината</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отговаря за разделното събиране на отпадъци от опаковки и на отпадъчни материали от хартия и картон, метали, пластмаси и стъкло, като сключва договори при условия и ред, определен с решение на Столичен общински съвет</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определя местата за разполагане на необходимите елементи на системата за разделно събиране на негодни за употреба батерии и акумулатори (НУБА) на територията на Столична община, когато същите се разполагат върху общински имот и организира дейностите по събиране и временно съхраняване на портативни и автомобилни НУБА и предаването им за предварително третиране, рециклиране, оползотворяване и/или обезвреждане</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дейностите по разделно събиране на излязло от употреба електрическо и електронно оборудване (ИУЕЕО) от домакинствата и/или оказва съдействие на организациите за оползотворяване на ИУЕЕО и  определя местата за разполагане на необходимите елементи на системите за разделно събиране и местата за предаване на ИУЕЕО, върху общински имоти на територията на общината</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определя местата за смяна на отработени моторни масла на територията на общината и информира обществеността за местоположението им и условията за приемане на отработените масла, когато тези места са разположени върху общински имот и съдейства за извършване на дейностите по събиране и съхраняване на излезли от употреба масла и предаването им за оползотворяване или обезвреждане</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Определя местата за разполагане на необходимите елементи на системата за разделно събиране и местата за предаване на излезли от употреба моторни превозни средства ИУМПС, върху общински имоти на територията на общината, в случаите, когато икономическите оператори не са изградили площадки за събиране и съхраняване и на центрове за разкомплектоване на ИУМПС и организира дейностите по събирането на ИУМПС по чл. 143, ал. 7 и 8 ЗДП и предаването им в центрове за разкомплектоване</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определя местата за събиране на излезли от употреба гуми (ИУГ) на територията на общината, когато същите се разполагат върху общински имот и съдейства за извършване на дейностите по събиране и съхраняване на ИУГ и предаването им за оползотворяване или обезвреждане</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определя маршрути за транспортиране на строителни отпадъци и земни маси до съоръжения/площадки, места отговарящи на изискванията и притежаващи разрешителни по реда на ЗУО, отговаря за предаването на отделените строителни отпадъци по време на принудителното премахване на строежи, оползотворяването на материалите и за влагане на рециклирани строителни материали, включително за покриване на разходите за извършване на дейностите по транспортиране и третиране и организирането на събирането, оползотворяването и обезвреждането на строителни отпадъци от ремонтна дейност, образувани от домакинствата на територията на общината</w:t>
      </w:r>
    </w:p>
    <w:p w:rsidR="00C301A2" w:rsidRDefault="00D43C36">
      <w:pPr>
        <w:numPr>
          <w:ilvl w:val="0"/>
          <w:numId w:val="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сключва договори за почистване на уличните платна, площадите, алеите, парковите и други територии, предназначени за обществено ползване и за почистване от отпадъци на общинските пътища</w:t>
      </w:r>
    </w:p>
    <w:p w:rsidR="00C301A2" w:rsidRDefault="00D43C36">
      <w:pPr>
        <w:numPr>
          <w:ilvl w:val="0"/>
          <w:numId w:val="4"/>
        </w:numPr>
        <w:jc w:val="both"/>
        <w:rPr>
          <w:rFonts w:ascii="Palatino Linotype" w:eastAsia="Palatino Linotype" w:hAnsi="Palatino Linotype" w:cs="Palatino Linotype"/>
          <w:color w:val="000000"/>
        </w:rPr>
      </w:pPr>
      <w:bookmarkStart w:id="4" w:name="_heading=h.30j0zll" w:colFirst="0" w:colLast="0"/>
      <w:bookmarkEnd w:id="4"/>
      <w:r>
        <w:rPr>
          <w:rFonts w:ascii="Palatino Linotype" w:eastAsia="Palatino Linotype" w:hAnsi="Palatino Linotype" w:cs="Palatino Linotype"/>
          <w:color w:val="000000"/>
        </w:rPr>
        <w:t>определя със заповед длъжностните лица, които извършват контрола за спазването и прилагането на разпоредбите на Наредбата за управление на отпадъците и поддържане и опазване на чистотата на територията на Столична община в сила от 26.03.2021 г.</w:t>
      </w:r>
    </w:p>
    <w:p w:rsidR="00C301A2" w:rsidRPr="001024B0" w:rsidRDefault="00D43C36" w:rsidP="001024B0">
      <w:pPr>
        <w:ind w:firstLine="708"/>
        <w:jc w:val="both"/>
      </w:pPr>
      <w:bookmarkStart w:id="5" w:name="_heading=h.3dy6vkm" w:colFirst="0" w:colLast="0"/>
      <w:bookmarkEnd w:id="5"/>
      <w:r>
        <w:rPr>
          <w:rFonts w:ascii="Palatino Linotype" w:eastAsia="Palatino Linotype" w:hAnsi="Palatino Linotype" w:cs="Palatino Linotype"/>
        </w:rPr>
        <w:t>При осъществяване на конкретните правомощия за управление на отпадъците, кметът на СО се подпомага от Заместник-кмет по направление "Зелена система, екология и земеползване" и кметове на райони.</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Заместник-кмет по направление "Зелена система, екология и земеползване"</w:t>
      </w:r>
    </w:p>
    <w:tbl>
      <w:tblPr>
        <w:tblStyle w:val="ae"/>
        <w:tblW w:w="9492"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2687"/>
        <w:gridCol w:w="6805"/>
      </w:tblGrid>
      <w:tr w:rsidR="00C301A2">
        <w:tc>
          <w:tcPr>
            <w:tcW w:w="2687"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Групи функции</w:t>
            </w:r>
          </w:p>
        </w:tc>
        <w:tc>
          <w:tcPr>
            <w:tcW w:w="6805"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Устройствен правилник, чл. 51</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политиката за отпадъците - </w:t>
            </w:r>
            <w:r>
              <w:rPr>
                <w:rFonts w:ascii="Palatino Linotype" w:eastAsia="Palatino Linotype" w:hAnsi="Palatino Linotype" w:cs="Palatino Linotype"/>
              </w:rPr>
              <w:t>разработване на общински програмни и нормативни документи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Координира разработването, актуализирането и изпълнението на стратегии и програми, свързани с управлението на дейностите по отпадъците, т. 25</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Организира разработването на предложение за общинската програма за околна среда и програма за управление на отпадъците за територията на съответната община, като неразделна част от нея, т. 26 </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разработването на план за разполагане на съдове за разделно събиране на отпадъците и кампании за разделно събиране на отпадъци от домакинствата, т. 27</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Координира дейностите за изготвяне и актуализирането при промяна в нормативните изисквания на Наредбата по чл. 22 от ЗУО, т. 30</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Участва в процеса на планиране на бюджетните средства за изпълнение на програмите и стратегиите, свързани с управлението на дейностите по отпадъците към бюджета на дирекция "Управление на отпадъците и контролни дейности", т. 31</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Одобрява/изготвя предложения до кмета за плановете за управление на строителни отпадъци, когато не са одобрени по реда на чл. 156б, ал. 6 от Закона за устройство на територията, в случай на упълномощаване, т. 32</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предоставяне на услуги - </w:t>
            </w:r>
            <w:r>
              <w:rPr>
                <w:rFonts w:ascii="Palatino Linotype" w:eastAsia="Palatino Linotype" w:hAnsi="Palatino Linotype" w:cs="Palatino Linotype"/>
              </w:rPr>
              <w:t>дейности по събиране и третиране на отпадъците, разработване на годишни бюджети и определяне на годишните такси за предоставяне на услугата</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и контролира чистотата, поддържането, опазването и разширяването на селищните зелени системи в населените места и крайселищните територии, както и опазването на биологичното разнообразие, на ландшафта и на природното и културното наследство в тях, т. 24</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Подпомага кмета за осъществяване на дейността по организирането на управлението на битовите и строителните отпадъци, осигуряване на условия, при които всеки притежател на битови отпадъци се обслужва от лица по чл. 35 от ЗУО, на които е предоставено право да извършват дейности по тяхното събиране, транспортиране, оползотворяване и/или обезвреждане, т. 28 </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Участва при организирането на дейността за разделно събиране на масово разпространени отпадъци, в т. ч. - отпадъци от опаковки, излезлите от употреба луминесцентни и други лампи, съдържащи живак, излязло от употреба електронно и електрическо оборудване, излезли от употреба моторни превозни средства и др., т. 29</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наблюдение и контрол – </w:t>
            </w:r>
            <w:r>
              <w:rPr>
                <w:rFonts w:ascii="Palatino Linotype" w:eastAsia="Palatino Linotype" w:hAnsi="Palatino Linotype" w:cs="Palatino Linotype"/>
              </w:rPr>
              <w:t>извършване на контрол и инспекции, в т.ч. превантивен, текущ и последващ контрол и координация с други органи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Контролира, проверява и потвърждава разходите за авансови, междинни и окончателни плащания, извършвани от изпълнители по договори, свързани с управление на дейностите по отпадъците, т. 33</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координира и контролира изпълнението на договорите от компетентността на поверената му структура, както и осъществява постоянен контрол, с оглед своевременното попълване на данни в Система за управление на договорите на Столична община (СУДСО) спрямо същите, т. 45</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за привличане на обществеността - </w:t>
            </w:r>
            <w:r>
              <w:rPr>
                <w:rFonts w:ascii="Palatino Linotype" w:eastAsia="Palatino Linotype" w:hAnsi="Palatino Linotype" w:cs="Palatino Linotype"/>
              </w:rPr>
              <w:t>обществени консултации, информационно-образователни дейности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Няма възложени специфични функции по отношение на управлението на отпадъци. </w:t>
            </w:r>
          </w:p>
          <w:p w:rsidR="00C301A2" w:rsidRDefault="00C301A2">
            <w:pPr>
              <w:spacing w:after="0"/>
              <w:ind w:left="360"/>
              <w:jc w:val="both"/>
              <w:rPr>
                <w:rFonts w:ascii="Palatino Linotype" w:eastAsia="Palatino Linotype" w:hAnsi="Palatino Linotype" w:cs="Palatino Linotype"/>
                <w:color w:val="000000"/>
              </w:rPr>
            </w:pPr>
          </w:p>
          <w:p w:rsidR="00C301A2" w:rsidRDefault="00D43C36">
            <w:pPr>
              <w:spacing w:after="0"/>
              <w:jc w:val="both"/>
              <w:rPr>
                <w:rFonts w:ascii="Palatino Linotype" w:eastAsia="Palatino Linotype" w:hAnsi="Palatino Linotype" w:cs="Palatino Linotype"/>
              </w:rPr>
            </w:pPr>
            <w:r>
              <w:rPr>
                <w:rFonts w:ascii="Palatino Linotype" w:eastAsia="Palatino Linotype" w:hAnsi="Palatino Linotype" w:cs="Palatino Linotype"/>
              </w:rPr>
              <w:t>Общи функции от Чл. 8 УП СО:</w:t>
            </w:r>
          </w:p>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Осигуряват в оперативен порядък информация, необходима по повод изготвянето отговори на питания на общински съветници към кмета на Столична община, т. 8</w:t>
            </w:r>
          </w:p>
          <w:p w:rsidR="00C301A2" w:rsidRDefault="00D43C36">
            <w:pPr>
              <w:numPr>
                <w:ilvl w:val="0"/>
                <w:numId w:val="10"/>
              </w:numPr>
              <w:spacing w:after="0"/>
              <w:jc w:val="both"/>
              <w:rPr>
                <w:rFonts w:ascii="Palatino Linotype" w:eastAsia="Palatino Linotype" w:hAnsi="Palatino Linotype" w:cs="Palatino Linotype"/>
                <w:color w:val="000000"/>
              </w:rPr>
            </w:pPr>
            <w:bookmarkStart w:id="6" w:name="_heading=h.1t3h5sf" w:colFirst="0" w:colLast="0"/>
            <w:bookmarkEnd w:id="6"/>
            <w:r>
              <w:rPr>
                <w:rFonts w:ascii="Palatino Linotype" w:eastAsia="Palatino Linotype" w:hAnsi="Palatino Linotype" w:cs="Palatino Linotype"/>
                <w:color w:val="000000"/>
              </w:rPr>
              <w:t>Създават организация за навременното, точното и пълното нанасяне на данните, относно договорите в съответните информационни системи на Столична община, т. 9.3.</w:t>
            </w:r>
          </w:p>
        </w:tc>
      </w:tr>
    </w:tbl>
    <w:p w:rsidR="00C301A2" w:rsidRDefault="00C301A2">
      <w:pPr>
        <w:jc w:val="both"/>
        <w:rPr>
          <w:rFonts w:ascii="Palatino Linotype" w:eastAsia="Palatino Linotype" w:hAnsi="Palatino Linotype" w:cs="Palatino Linotype"/>
        </w:rPr>
      </w:pPr>
    </w:p>
    <w:p w:rsidR="00C301A2" w:rsidRDefault="00D43C36">
      <w:pPr>
        <w:jc w:val="both"/>
        <w:rPr>
          <w:rFonts w:ascii="Palatino Linotype" w:eastAsia="Palatino Linotype" w:hAnsi="Palatino Linotype" w:cs="Palatino Linotype"/>
          <w:b/>
          <w:i/>
        </w:rPr>
      </w:pPr>
      <w:r>
        <w:rPr>
          <w:rFonts w:ascii="Palatino Linotype" w:eastAsia="Palatino Linotype" w:hAnsi="Palatino Linotype" w:cs="Palatino Linotype"/>
          <w:b/>
          <w:i/>
        </w:rPr>
        <w:t>Кметове на райони в Столична община</w:t>
      </w:r>
    </w:p>
    <w:tbl>
      <w:tblPr>
        <w:tblStyle w:val="af"/>
        <w:tblW w:w="9492"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2687"/>
        <w:gridCol w:w="6805"/>
      </w:tblGrid>
      <w:tr w:rsidR="00C301A2">
        <w:tc>
          <w:tcPr>
            <w:tcW w:w="2687"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Групи функции</w:t>
            </w:r>
          </w:p>
        </w:tc>
        <w:tc>
          <w:tcPr>
            <w:tcW w:w="6805"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НУОПОЧТСО</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политиката за отпадъците - </w:t>
            </w:r>
            <w:r>
              <w:rPr>
                <w:rFonts w:ascii="Palatino Linotype" w:eastAsia="Palatino Linotype" w:hAnsi="Palatino Linotype" w:cs="Palatino Linotype"/>
              </w:rPr>
              <w:t>разработване на общински програмни и нормативни документи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8"/>
              </w:numPr>
              <w:pBdr>
                <w:top w:val="nil"/>
                <w:left w:val="nil"/>
                <w:bottom w:val="nil"/>
                <w:right w:val="nil"/>
                <w:between w:val="nil"/>
              </w:pBdr>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Изготвят, утвърждават и връчват скици, с които се определят прилежащи площи към сградите по реда и при условията на Наредба № 6/2009 г.на МРРБ за определяне на прилежащата площ към сгради в режим на етажна собственост в квартали с комплексно застрояване"</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предоставяне на услуги - </w:t>
            </w:r>
            <w:r>
              <w:rPr>
                <w:rFonts w:ascii="Palatino Linotype" w:eastAsia="Palatino Linotype" w:hAnsi="Palatino Linotype" w:cs="Palatino Linotype"/>
              </w:rPr>
              <w:t>дейности по събиране и третиране на отпадъците, разработване на годишни бюджети и определяне на годишните такси за предоставяне на услугата</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9"/>
              </w:numPr>
              <w:pBdr>
                <w:top w:val="nil"/>
                <w:left w:val="nil"/>
                <w:bottom w:val="nil"/>
                <w:right w:val="nil"/>
                <w:between w:val="nil"/>
              </w:pBdr>
              <w:spacing w:after="0"/>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Подпомагат дейността на Кмета на СО при определяне на съоръженията за оползотворяване и/или обезвреждане на територията на Столична община, до които да бъдат транспортирани битовите отпадъци, като съвместно със Столичен инспекторат създават организация за дейностите им</w:t>
            </w:r>
          </w:p>
          <w:p w:rsidR="00C301A2" w:rsidRDefault="00D43C36">
            <w:pPr>
              <w:numPr>
                <w:ilvl w:val="0"/>
                <w:numId w:val="9"/>
              </w:numPr>
              <w:pBdr>
                <w:top w:val="nil"/>
                <w:left w:val="nil"/>
                <w:bottom w:val="nil"/>
                <w:right w:val="nil"/>
                <w:between w:val="nil"/>
              </w:pBdr>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Предлагат местата за разполагане на елементите от системата за разделно събиране на отпадъци</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Одобрява заявления за включване в общинската система за разделно събиране на биоотпадъци</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Издават направление на определен маршрут за транспортиране на строителни отпадъци и земни маси</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Кметовете на райони предоставят на кмета на Столична община информация за установени замърсявания на територията на района, ежемесечно, в т.ч. размера на изразходваните от тях средства за почистените площи.</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наблюдение и контрол – </w:t>
            </w:r>
            <w:r>
              <w:rPr>
                <w:rFonts w:ascii="Palatino Linotype" w:eastAsia="Palatino Linotype" w:hAnsi="Palatino Linotype" w:cs="Palatino Linotype"/>
              </w:rPr>
              <w:t>извършване на контрол и инспекции, в т.ч. превантивен, текущ и последващ контрол и координация с други органи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Създават организация съвместно със Столичен инспекторат (съответния Районен инспекторат) за контролиране на дейностите по управление на битовите отпадъци</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Кметовете на районите назначават комисия с представители на Столичен инспекторат и районната общинска администрация за установяване на излезли от употреба МПС, собствеността на терена и собствеността на МПС</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за привличане на обществеността - </w:t>
            </w:r>
            <w:r>
              <w:rPr>
                <w:rFonts w:ascii="Palatino Linotype" w:eastAsia="Palatino Linotype" w:hAnsi="Palatino Linotype" w:cs="Palatino Linotype"/>
              </w:rPr>
              <w:t>обществени консултации, информационно-образователни дейности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Оповестяват на интернет страниците на районните администрации сключените договори за почистване на уличните платна, площадите, алеите, парковите и други територии, предназначени за обществено ползване и за почистване от отпадъци на общинските пътища</w:t>
            </w:r>
          </w:p>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Оповестяват на интернет страниците на районните администрации организациите и местата за местата за разполагане на необходимите елементи на системата за разделно събиране на негодни за употреба батерии и акумулатори</w:t>
            </w:r>
          </w:p>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Оповестяват на интернет страниците на районните администрации графика за разделно събиране на излязло от употреба електрическо и електронно оборудване</w:t>
            </w:r>
          </w:p>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Оповестяват на интернет страниците на районните администрации информация за местата за смяна и условията за приемане на отработените масла</w:t>
            </w:r>
          </w:p>
          <w:p w:rsidR="00C301A2" w:rsidRDefault="00D43C36">
            <w:pPr>
              <w:numPr>
                <w:ilvl w:val="0"/>
                <w:numId w:val="10"/>
              </w:numPr>
              <w:pBdr>
                <w:top w:val="nil"/>
                <w:left w:val="nil"/>
                <w:bottom w:val="nil"/>
                <w:right w:val="nil"/>
                <w:between w:val="nil"/>
              </w:pBdr>
              <w:rPr>
                <w:rFonts w:ascii="Palatino Linotype" w:eastAsia="Palatino Linotype" w:hAnsi="Palatino Linotype" w:cs="Palatino Linotype"/>
                <w:color w:val="000000"/>
              </w:rPr>
            </w:pPr>
            <w:r>
              <w:rPr>
                <w:rFonts w:ascii="Palatino Linotype" w:eastAsia="Palatino Linotype" w:hAnsi="Palatino Linotype" w:cs="Palatino Linotype"/>
                <w:color w:val="000000"/>
              </w:rPr>
              <w:t>Оповестяват на интернет страниците на районните администрации информация за местата и условията за приемане на излезли от употреба гуми</w:t>
            </w:r>
          </w:p>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Оповестяват на интернет страниците на районните администрации</w:t>
            </w:r>
            <w:r>
              <w:t xml:space="preserve"> </w:t>
            </w:r>
            <w:r>
              <w:rPr>
                <w:rFonts w:ascii="Palatino Linotype" w:eastAsia="Palatino Linotype" w:hAnsi="Palatino Linotype" w:cs="Palatino Linotype"/>
                <w:color w:val="000000"/>
              </w:rPr>
              <w:t>площадките за приемане на отпадъци от хартия и картон, пластмаси и стъкло от физически и юридически лица</w:t>
            </w:r>
          </w:p>
        </w:tc>
      </w:tr>
    </w:tbl>
    <w:p w:rsidR="00C301A2" w:rsidRDefault="00C301A2">
      <w:pPr>
        <w:jc w:val="both"/>
        <w:rPr>
          <w:rFonts w:ascii="Palatino Linotype" w:eastAsia="Palatino Linotype" w:hAnsi="Palatino Linotype" w:cs="Palatino Linotype"/>
        </w:rPr>
      </w:pPr>
    </w:p>
    <w:p w:rsidR="00C301A2" w:rsidRDefault="00D43C36">
      <w:pPr>
        <w:numPr>
          <w:ilvl w:val="0"/>
          <w:numId w:val="31"/>
        </w:numPr>
        <w:jc w:val="both"/>
        <w:rPr>
          <w:rFonts w:ascii="Palatino Linotype" w:eastAsia="Palatino Linotype" w:hAnsi="Palatino Linotype" w:cs="Palatino Linotype"/>
          <w:color w:val="000000"/>
          <w:u w:val="single"/>
        </w:rPr>
      </w:pPr>
      <w:r>
        <w:rPr>
          <w:rFonts w:ascii="Palatino Linotype" w:eastAsia="Palatino Linotype" w:hAnsi="Palatino Linotype" w:cs="Palatino Linotype"/>
          <w:color w:val="000000"/>
          <w:u w:val="single"/>
        </w:rPr>
        <w:t>Основно изпълнително звено</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Дирекция „Управление на отпадъци и контролни дейности“</w:t>
      </w:r>
    </w:p>
    <w:tbl>
      <w:tblPr>
        <w:tblStyle w:val="af0"/>
        <w:tblW w:w="9492"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2687"/>
        <w:gridCol w:w="6805"/>
      </w:tblGrid>
      <w:tr w:rsidR="00C301A2">
        <w:tc>
          <w:tcPr>
            <w:tcW w:w="2687"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Групи функции</w:t>
            </w:r>
          </w:p>
        </w:tc>
        <w:tc>
          <w:tcPr>
            <w:tcW w:w="6805"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Устройствен правилник, чл. 55</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политиката за отпадъците - </w:t>
            </w:r>
            <w:r>
              <w:rPr>
                <w:rFonts w:ascii="Palatino Linotype" w:eastAsia="Palatino Linotype" w:hAnsi="Palatino Linotype" w:cs="Palatino Linotype"/>
              </w:rPr>
              <w:t>разработване на общински програмни и нормативни документи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и координира изпълнението на политиките на Столична община, свързани с управлението на отпадъците, т. 1</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Координира, организира и участва в подготовката на планове, програми, стратегии и наредби на Столична община, т. 4</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Подготвя методически указания, свързани с дейностите по управление на отпадъците към районните администрации на СО, физически и юридически лица, когато това е необходимо, т. 5</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Координира, организира и участва в подготовката и актуализацията на стратегии и програми, свързани с управлението на дейностите по отпадъците, т. 11</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Координира дейностите за изготвянето и актуализирането при промяна в нормативните изисквания на общинската наредба, с която се определят условията и реда за изхвърлянето, събирането, включително разделното, транспортирането, претоварването, оползотворяването и обезвреждането на битови, строителни и масово разпространени отпадъци на територията на Столична община, т. 16</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Изготвя доклади до СОС и проекти за решения, свързани с дейността на дирекцията, т. 17</w:t>
            </w:r>
          </w:p>
          <w:p w:rsidR="00C301A2" w:rsidRDefault="00D43C36">
            <w:pPr>
              <w:numPr>
                <w:ilvl w:val="0"/>
                <w:numId w:val="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Участва в процеса на планиране на средства за изпълнението на приети програми и стратегии, свързани с управлението на дейностите по отпадъците към бюджета на дирекцията, т. 18</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предоставяне на услуги - </w:t>
            </w:r>
            <w:r>
              <w:rPr>
                <w:rFonts w:ascii="Palatino Linotype" w:eastAsia="Palatino Linotype" w:hAnsi="Palatino Linotype" w:cs="Palatino Linotype"/>
              </w:rPr>
              <w:t>дейности по събиране и третиране на отпадъците, разработване на годишни бюджети и определяне на годишните такси за предоставяне на услугата</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Обезпечава изпълнението на законоустановените задължения на Столична община по всички дейности по събиране и третиране на отпадъците, т. 2</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Предлагане на системи и механизми за устойчиво управление на отпадъците при спазване на изискванията на нормативната уредба, т. 3 </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Подготовка на документи за провеждане на процедури за избор на изпълнители, управление и контрол по изпълнението на сключените договори, възложени за реализация на дирекцията, т. 7 </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Съставяне и поддържане на публичен регистър за издадени направления за определянето на маршрути за транспортиране на строителни отпадъци и земни маси, т. 8</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Планиране на бюджета, като част от програмата за управление на отпадъците, т. 9 </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Упражнява контрол за спазване на условията и реда за извършване на дейности с отпадъци от черни и цветни метали (ОЧЦМ), съобразно своите компетенции, във връзка с изпълнение на чл. 118 от ЗУО, т. 10</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Участва при организирането на дейностите по разделно събиране на битови и масово разпространени отпадъци, в т. ч. - отпадъци от опаковки и отпадъчни материали от хартия, картон, метали, пластмаса и стъкло, негодни за употреба батерии и акумулатори (НУБА), излязло от употреба електрическо и електронно оборудване (ИУЕЕО), излезли от употреба моторни превозни средства (ИУМПС), излезли от употреба гуми (ИУГ) и др., т. 12</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Обобщава информация и изготвя предложения, относно определянето на вида на предлаганите услуги по чл. 62 от ЗМДТ на територията на общината и честотата на събиране и транспортиране на битовите отпадъци, във връзка с предвиденото задължение на кмета на общината в чл. 63 от същия закон, т. 14</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Участва в работата на комисии и работни групи, създадени със заповед на кмета на СО, свързани с управление на дейностите по отпадъците, т. 20</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Участва в унищожаването на растения, растителни продукти и други обекти, съгласно Закона за защита на растенията, т. 21</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Подготовка на документи за провеждане на процедури за избор на изпълнители, управление и контрол по изпълнението на сключените договори, за строителството на съоръженията за третиране на отпадъци и оперативните дейности при последващата им експлоатация, както и др. договори, възложени за реализация на дирекцията в областта на управление на дейностите по отпадъците, т. 22</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Подготвя и предоставя за съгласуване (съгласно йерархията на СО) документи, необходими за стартиране на процедурите за избор на изпълнители на обществени поръчки, контролира изпълнението на сключените договори с избраните изпълнители, т. 24</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предоставянето на техническа информация, необходима на изпълнителите на договори за обществени поръчки за целите на изпълняваните от тях дейности, т. 28</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Участва в работата на комисии и работни групи, звена за изпълнение (управление) на проекти и др., т. 35</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Подпомага работата на ОП СПТО – издава становища, заповеди, указания, съгласува договори, т. 36</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по наблюдение и контрол – </w:t>
            </w:r>
            <w:r>
              <w:rPr>
                <w:rFonts w:ascii="Palatino Linotype" w:eastAsia="Palatino Linotype" w:hAnsi="Palatino Linotype" w:cs="Palatino Linotype"/>
              </w:rPr>
              <w:t>извършване на контрол и инспекции, в т.ч. превантивен, текущ и последващ контрол и координация с други органи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Осъществяване на мониторинг по изпълнението на изготвените и приети планове, програми и стратегии на СО, свързани с управлението на отпадъците, т. 6</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Събира, систематизира и анализира информация, свързана с дейността на дирекцията, т. 13</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събирането и поддържането на информация за броя на ползвателите на услугите по чл. 62 от ЗМДТ в имотите на територията на общината, т. 15</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Разработване на инструменти за управление и контрол на договори, процедури и насоки, които да подпомогнат дейността на дирекцията. Организиране на процеса на верификация на разходите, провеждане на проверки на място и докладване, във връзка с изпълнение на проекти, съфинансирани от оперативна програма "Околна среда", т. 23</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Проучва, анализира, разработва и предлага експертни оценки, становища, прогнози и решения по изпълнението на сключени договори на обществени поръчки, т. 25</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Проучва представените резултати от изпълнители на обществени поръчки и изготвя становища по извършените работи, т. 26</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Следи за спазване на сроковете за изпълнение, залегнали в договорите за изпълнение и други срокове, поставени във връзка с изпълнение на отделни ангажименти и задачи, т. 27</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 координация и взаимодействие с отдели и звена на общинската администрация, както и с външни институции, с оглед законосъобразното им управление и изпълнение на сключените договори, т. 29</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Контролира, проверява и потвърждава разходите за авансови, междинни и окончателни плащания, извършвани от изпълнители по договори, свързани с управление на дейностите по отпадъците, т. 30</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Извършва документални и проверки на място по цялостното изпълнение на договорите, т. 31</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Съдейства на одитиращи, мониторингови и проверяващи органи, т. 32</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Обработва и обобщава данните, свързани с изпълнението на договорите, т. 33</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Изготвя информационни справки, доклади, становища и др., свързани с финансовото изпълнение на проектите, т. 34</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 контрол по екологосъобразно управление на отпадъците, т. 38</w:t>
            </w:r>
          </w:p>
          <w:p w:rsidR="00C301A2" w:rsidRDefault="00D43C36">
            <w:pPr>
              <w:numPr>
                <w:ilvl w:val="0"/>
                <w:numId w:val="9"/>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Контролира и организира възлагането и изпълнението на услуги, извършвани от външните изпълнители, т. 39</w:t>
            </w:r>
          </w:p>
        </w:tc>
      </w:tr>
      <w:tr w:rsidR="00C301A2">
        <w:tc>
          <w:tcPr>
            <w:tcW w:w="268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 xml:space="preserve">Функции за привличане на обществеността - </w:t>
            </w:r>
            <w:r>
              <w:rPr>
                <w:rFonts w:ascii="Palatino Linotype" w:eastAsia="Palatino Linotype" w:hAnsi="Palatino Linotype" w:cs="Palatino Linotype"/>
              </w:rPr>
              <w:t>обществени консултации, информационно-образователни дейности</w:t>
            </w:r>
          </w:p>
        </w:tc>
        <w:tc>
          <w:tcPr>
            <w:tcW w:w="680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Изготвя становища и отговаря на постъпили заявления от физически и юридически лица, т. 19</w:t>
            </w:r>
          </w:p>
          <w:p w:rsidR="00C301A2" w:rsidRDefault="00D43C36">
            <w:pPr>
              <w:numPr>
                <w:ilvl w:val="0"/>
                <w:numId w:val="1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Попълва необходимите данни, относно сключените договори в съответните информационни системи на СО, т. 37</w:t>
            </w:r>
          </w:p>
          <w:p w:rsidR="00C301A2" w:rsidRDefault="00D43C36">
            <w:pPr>
              <w:numPr>
                <w:ilvl w:val="0"/>
                <w:numId w:val="10"/>
              </w:numPr>
              <w:spacing w:after="0"/>
              <w:jc w:val="both"/>
              <w:rPr>
                <w:rFonts w:ascii="Palatino Linotype" w:eastAsia="Palatino Linotype" w:hAnsi="Palatino Linotype" w:cs="Palatino Linotype"/>
                <w:color w:val="000000"/>
              </w:rPr>
            </w:pPr>
            <w:bookmarkStart w:id="7" w:name="_heading=h.1fob9te" w:colFirst="0" w:colLast="0"/>
            <w:bookmarkEnd w:id="7"/>
            <w:r>
              <w:rPr>
                <w:rFonts w:ascii="Palatino Linotype" w:eastAsia="Palatino Linotype" w:hAnsi="Palatino Linotype" w:cs="Palatino Linotype"/>
                <w:color w:val="000000"/>
              </w:rPr>
              <w:t>Осъществява контрол върху информационното обезпечаване, свързано с движението на отпадъците, т. 40</w:t>
            </w:r>
          </w:p>
        </w:tc>
      </w:tr>
    </w:tbl>
    <w:p w:rsidR="00C301A2" w:rsidRDefault="00C301A2">
      <w:pPr>
        <w:jc w:val="both"/>
        <w:rPr>
          <w:rFonts w:ascii="Palatino Linotype" w:eastAsia="Palatino Linotype" w:hAnsi="Palatino Linotype" w:cs="Palatino Linotype"/>
          <w:b/>
        </w:rPr>
      </w:pPr>
    </w:p>
    <w:p w:rsidR="00C301A2" w:rsidRPr="001024B0" w:rsidRDefault="00D43C36" w:rsidP="006350B3">
      <w:pPr>
        <w:numPr>
          <w:ilvl w:val="0"/>
          <w:numId w:val="31"/>
        </w:numPr>
        <w:ind w:left="0" w:firstLine="0"/>
        <w:jc w:val="both"/>
        <w:rPr>
          <w:rFonts w:ascii="Palatino Linotype" w:eastAsia="Palatino Linotype" w:hAnsi="Palatino Linotype" w:cs="Palatino Linotype"/>
          <w:i/>
          <w:color w:val="000000"/>
          <w:u w:val="single"/>
        </w:rPr>
      </w:pPr>
      <w:r>
        <w:rPr>
          <w:rFonts w:ascii="Palatino Linotype" w:eastAsia="Palatino Linotype" w:hAnsi="Palatino Linotype" w:cs="Palatino Linotype"/>
          <w:i/>
          <w:color w:val="000000"/>
          <w:u w:val="single"/>
        </w:rPr>
        <w:t xml:space="preserve">Изпълнителни звена с важни спомагателни функции по отношение на </w:t>
      </w:r>
      <w:bookmarkStart w:id="8" w:name="_GoBack"/>
      <w:bookmarkEnd w:id="8"/>
      <w:r>
        <w:rPr>
          <w:rFonts w:ascii="Palatino Linotype" w:eastAsia="Palatino Linotype" w:hAnsi="Palatino Linotype" w:cs="Palatino Linotype"/>
          <w:i/>
          <w:color w:val="000000"/>
          <w:u w:val="single"/>
        </w:rPr>
        <w:t>управлението на отпадъците</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Дирекция „Вътрешен одит“, обща администрация</w:t>
      </w:r>
    </w:p>
    <w:p w:rsidR="00C301A2" w:rsidRPr="001024B0" w:rsidRDefault="00D43C36" w:rsidP="001024B0">
      <w:pPr>
        <w:ind w:firstLine="708"/>
        <w:jc w:val="both"/>
        <w:rPr>
          <w:rFonts w:ascii="Palatino Linotype" w:eastAsia="Palatino Linotype" w:hAnsi="Palatino Linotype" w:cs="Palatino Linotype"/>
        </w:rPr>
      </w:pPr>
      <w:r>
        <w:rPr>
          <w:rFonts w:ascii="Palatino Linotype" w:eastAsia="Palatino Linotype" w:hAnsi="Palatino Linotype" w:cs="Palatino Linotype"/>
        </w:rPr>
        <w:t>Осъществява контролни функции по отношение на всички структури, програми, дейности и процеси в организацията.</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 xml:space="preserve">Направление "Дигитализация, иновации и икономическо развитие" </w:t>
      </w:r>
    </w:p>
    <w:p w:rsidR="00C301A2" w:rsidRDefault="00D43C36" w:rsidP="001024B0">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Осъществява поддържане на информационните и комуникационни системи и дигиталните услуги на общината, включително и обучение на служителите в ИКТ. </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Направление "Правен и административен контрол"</w:t>
      </w:r>
    </w:p>
    <w:p w:rsidR="00C301A2" w:rsidRDefault="00D43C36">
      <w:pPr>
        <w:numPr>
          <w:ilvl w:val="0"/>
          <w:numId w:val="1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Подготвя становища по правни въпроси и проекти на документи от компетентността на Столична общинска администрация, поставени от граждани и юридически лица във връзка с дейността на Столична община</w:t>
      </w:r>
    </w:p>
    <w:p w:rsidR="00C301A2" w:rsidRDefault="00D43C36">
      <w:pPr>
        <w:numPr>
          <w:ilvl w:val="0"/>
          <w:numId w:val="1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Съгласува по законосъобразност административни актове, издавани от кмета на СО</w:t>
      </w:r>
    </w:p>
    <w:p w:rsidR="00C301A2" w:rsidRDefault="00D43C36">
      <w:pPr>
        <w:numPr>
          <w:ilvl w:val="0"/>
          <w:numId w:val="1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Контролира законосъобразността на документации и процедури по ЗОП</w:t>
      </w:r>
    </w:p>
    <w:p w:rsidR="00C301A2" w:rsidRDefault="00D43C36">
      <w:pPr>
        <w:numPr>
          <w:ilvl w:val="0"/>
          <w:numId w:val="1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Предоставя или отказва достъп по ЗДОИ</w:t>
      </w:r>
    </w:p>
    <w:p w:rsidR="00C301A2" w:rsidRPr="001024B0" w:rsidRDefault="00D43C36" w:rsidP="001024B0">
      <w:pPr>
        <w:numPr>
          <w:ilvl w:val="0"/>
          <w:numId w:val="13"/>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 процесуално представителство по дела</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Направление "Общинска администрация"</w:t>
      </w:r>
    </w:p>
    <w:p w:rsidR="00C301A2" w:rsidRDefault="00D43C36">
      <w:pPr>
        <w:numPr>
          <w:ilvl w:val="0"/>
          <w:numId w:val="1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Осъществява общата организация по административното обслужване на физически и юридически лица и координацията със структурните звена от специализираната администрация, относно предоставянето услуги на гражданите. </w:t>
      </w:r>
    </w:p>
    <w:p w:rsidR="00C301A2" w:rsidRDefault="00D43C36">
      <w:pPr>
        <w:numPr>
          <w:ilvl w:val="0"/>
          <w:numId w:val="1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Осъществява общата организация по обмена на документи между Столична община и административните органи и организации. </w:t>
      </w:r>
    </w:p>
    <w:p w:rsidR="00C301A2" w:rsidRDefault="00D43C36">
      <w:pPr>
        <w:numPr>
          <w:ilvl w:val="0"/>
          <w:numId w:val="1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деловодната дейност и кореспонденция с граждани и юридически лица</w:t>
      </w:r>
    </w:p>
    <w:p w:rsidR="00C301A2" w:rsidRDefault="00D43C36">
      <w:pPr>
        <w:numPr>
          <w:ilvl w:val="0"/>
          <w:numId w:val="1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 дейностите по архивиране и съхраняване на документацията на Централната администрация</w:t>
      </w:r>
    </w:p>
    <w:p w:rsidR="00C301A2" w:rsidRDefault="00D43C36">
      <w:pPr>
        <w:numPr>
          <w:ilvl w:val="0"/>
          <w:numId w:val="1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Поддържа и прилага изискванията на системата за управление на качеството, в съответствие с международния стандарт ISO 9001:2015</w:t>
      </w:r>
    </w:p>
    <w:p w:rsidR="00C301A2" w:rsidRPr="001024B0" w:rsidRDefault="00D43C36" w:rsidP="001024B0">
      <w:pPr>
        <w:numPr>
          <w:ilvl w:val="0"/>
          <w:numId w:val="14"/>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Подпомага дейността на кмета на Столична община при управление на човешките ресурси, вкл. разработване на вътрешни правила, инструкции, заповеди и процедури по организацията и дейността на структурните звена в общината, свързани с управлението на човешките ресурси, назначаването, първоначалното обучение, оценка на изпълнението и т. н.</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Направление "Финанси и здравеопазване", Дирекция "Икономика и търговска дейност"</w:t>
      </w:r>
    </w:p>
    <w:p w:rsidR="00C301A2" w:rsidRDefault="00D43C36">
      <w:pPr>
        <w:numPr>
          <w:ilvl w:val="0"/>
          <w:numId w:val="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Изготвя проекти на заповеди за определяне границите на районите с организирано събиране и извозване на битови отпадъци на територията на Столична община и осъществява процедурите, свързани с тях. </w:t>
      </w:r>
    </w:p>
    <w:p w:rsidR="00C301A2" w:rsidRDefault="00D43C36">
      <w:pPr>
        <w:numPr>
          <w:ilvl w:val="0"/>
          <w:numId w:val="15"/>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Ежегодно разработва предложение за размер на такса битови отпадъци, въз основа на годишна план-сметка за дейностите по сметосъбиране и сметоизвозване, обезвреждане на битовите отпадъци в депа или други съоръжения, поддържане чистотата на териториите за обществено ползване. </w:t>
      </w:r>
    </w:p>
    <w:p w:rsidR="00C301A2" w:rsidRDefault="00D43C36">
      <w:pPr>
        <w:numPr>
          <w:ilvl w:val="0"/>
          <w:numId w:val="15"/>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Разглежда и обработва преписки, свързани с определяне размера на такса битови отпадъци за нежилищни имоти на предприятия, в зависимост от количеството на битовите отпадъци и честотата на извозване - чл. 23 от Наредбата за определяне и администриране на местни такси и цени на услуги, предоставяни от Столична община. Процедира същите. </w:t>
      </w:r>
    </w:p>
    <w:p w:rsidR="00C301A2" w:rsidRPr="001024B0" w:rsidRDefault="00D43C36" w:rsidP="001024B0">
      <w:pPr>
        <w:numPr>
          <w:ilvl w:val="0"/>
          <w:numId w:val="15"/>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Разглежда и обработва преписки, свързани с определяне размера на такса битови отпадъци за нежилищни имоти на предприятия чрез пряко договаряне - чл. 24 от Наредбата за определяне и администриране на местни такси и цени на услуги, предоставяни от Столична община. Изготвя проекти на заповеди. Процедира същите след подписването им от кмета на Столична община.</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Дирекция „Обществени поръчки и концесии“</w:t>
      </w:r>
    </w:p>
    <w:p w:rsidR="00C301A2" w:rsidRDefault="00D43C36" w:rsidP="001024B0">
      <w:pPr>
        <w:ind w:firstLine="708"/>
        <w:jc w:val="both"/>
        <w:rPr>
          <w:rFonts w:ascii="Palatino Linotype" w:eastAsia="Palatino Linotype" w:hAnsi="Palatino Linotype" w:cs="Palatino Linotype"/>
        </w:rPr>
      </w:pPr>
      <w:r>
        <w:rPr>
          <w:rFonts w:ascii="Palatino Linotype" w:eastAsia="Palatino Linotype" w:hAnsi="Palatino Linotype" w:cs="Palatino Linotype"/>
        </w:rPr>
        <w:t>Прилагане и контрол на спазването на действащата законова и подзаконова уредба в областта на Закона за обществените поръчки, Закона за общинската собственост, Закона за концесиите, Наредбата за общинската собственост на СОС и Наредбата за условията и реда за провеждане на търгове и конкурси на СОС.</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Дирекция "Общински строителен контрол"</w:t>
      </w:r>
    </w:p>
    <w:p w:rsidR="00C301A2" w:rsidRDefault="00D43C36" w:rsidP="001024B0">
      <w:pPr>
        <w:ind w:firstLine="708"/>
        <w:jc w:val="both"/>
        <w:rPr>
          <w:rFonts w:ascii="Palatino Linotype" w:eastAsia="Palatino Linotype" w:hAnsi="Palatino Linotype" w:cs="Palatino Linotype"/>
        </w:rPr>
      </w:pPr>
      <w:r>
        <w:rPr>
          <w:rFonts w:ascii="Palatino Linotype" w:eastAsia="Palatino Linotype" w:hAnsi="Palatino Linotype" w:cs="Palatino Linotype"/>
        </w:rPr>
        <w:t>Контролира и координира дейността си с Направление "Зелена система, екология и земеползване" в случаите на разрушаването на законни сгради и съоръжения и доброволното премахване на незаконни строежи или на негодни за ползване или застрашаващи сигурността строежи да се извършва по начин, осигуряващ последващото оползотворяване, в т. ч. рециклиране на образуваните строителни отпадъци, в съответствие с изискванията на наредбата по чл. 43, ал. 4 от Закона за управление на отпадъците.</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Направление "Европейски политики, международна дейност и туризъм", Дирекция "Европейски политики и програми"</w:t>
      </w:r>
    </w:p>
    <w:p w:rsidR="00C301A2" w:rsidRDefault="00D43C36">
      <w:pPr>
        <w:numPr>
          <w:ilvl w:val="0"/>
          <w:numId w:val="2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Проучва възможностите за финансиране от оперативни, общностни и други европейски, национални и международни програми и информира ръководството на общината и заинтересованите направления. </w:t>
      </w:r>
    </w:p>
    <w:p w:rsidR="00C301A2" w:rsidRDefault="00D43C36">
      <w:pPr>
        <w:numPr>
          <w:ilvl w:val="0"/>
          <w:numId w:val="2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и координира подготовката, разработването и представянето на проекти на Столична община за финансиране от оперативните програми, програмите за трансгранично и транснационално сътрудничество на ЕС, и от други европейски, национални и международни програми и проекти, в сътрудничество със звената от специализираната администрация на общината и районните администрации.</w:t>
      </w:r>
    </w:p>
    <w:p w:rsidR="00C301A2" w:rsidRDefault="00D43C36">
      <w:pPr>
        <w:numPr>
          <w:ilvl w:val="0"/>
          <w:numId w:val="2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При необходимост оказва методическа помощ на екипите за управление и изпълнение на проектите, получили финансиране. </w:t>
      </w:r>
    </w:p>
    <w:p w:rsidR="00C301A2" w:rsidRDefault="00D43C36">
      <w:pPr>
        <w:numPr>
          <w:ilvl w:val="0"/>
          <w:numId w:val="2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Изготвя доклади/справки за напредъка на изпълняваните проекти, за нуждите на ръководството на общината. </w:t>
      </w:r>
    </w:p>
    <w:p w:rsidR="00C301A2" w:rsidRDefault="00D43C36">
      <w:pPr>
        <w:numPr>
          <w:ilvl w:val="0"/>
          <w:numId w:val="2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Подготвя и поддържа база данни за изпълняваните проекти от Столична община и районните администрации. </w:t>
      </w:r>
    </w:p>
    <w:p w:rsidR="00C301A2" w:rsidRDefault="00D43C36">
      <w:pPr>
        <w:numPr>
          <w:ilvl w:val="0"/>
          <w:numId w:val="27"/>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Организира и участва в срещи, семинари, кръгли маси, конференции и др. на национално и международно ниво, свързани с европейските политики и програми, изпълнението на проекти и обмяна на добри практики.</w:t>
      </w:r>
    </w:p>
    <w:p w:rsidR="00C301A2" w:rsidRDefault="00D43C36">
      <w:pPr>
        <w:jc w:val="both"/>
      </w:pPr>
      <w:r>
        <w:rPr>
          <w:rFonts w:ascii="Palatino Linotype" w:eastAsia="Palatino Linotype" w:hAnsi="Palatino Linotype" w:cs="Palatino Linotype"/>
          <w:b/>
        </w:rPr>
        <w:t xml:space="preserve">Постоянна комисия (ПК) по опазване на околната среда, земеделие и гори към СОС – </w:t>
      </w:r>
      <w:hyperlink r:id="rId12">
        <w:r>
          <w:rPr>
            <w:rFonts w:ascii="Palatino Linotype" w:eastAsia="Palatino Linotype" w:hAnsi="Palatino Linotype" w:cs="Palatino Linotype"/>
            <w:color w:val="0563C1"/>
            <w:u w:val="single"/>
          </w:rPr>
          <w:t>https://council.sofia.bg/postoianna-komisia-po-opazvane-na-okolnata-sreda-zemedelie-i-gori</w:t>
        </w:r>
      </w:hyperlink>
      <w:r>
        <w:rPr>
          <w:rFonts w:ascii="Palatino Linotype" w:eastAsia="Palatino Linotype" w:hAnsi="Palatino Linotype" w:cs="Palatino Linotype"/>
          <w:b/>
        </w:rPr>
        <w:t xml:space="preserve"> </w:t>
      </w:r>
    </w:p>
    <w:p w:rsidR="00C301A2" w:rsidRDefault="00D43C36">
      <w:pPr>
        <w:ind w:firstLine="708"/>
        <w:jc w:val="both"/>
        <w:rPr>
          <w:rFonts w:ascii="Palatino Linotype" w:eastAsia="Palatino Linotype" w:hAnsi="Palatino Linotype" w:cs="Palatino Linotype"/>
        </w:rPr>
      </w:pPr>
      <w:bookmarkStart w:id="9" w:name="_heading=h.3znysh7" w:colFirst="0" w:colLast="0"/>
      <w:bookmarkEnd w:id="9"/>
      <w:r>
        <w:rPr>
          <w:rFonts w:ascii="Palatino Linotype" w:eastAsia="Palatino Linotype" w:hAnsi="Palatino Linotype" w:cs="Palatino Linotype"/>
        </w:rPr>
        <w:t>Комисията на общинско ниво по смисъла на ЗМСМА, отговорна за решаване на проблемите за отпадъците, е Постоянната комисия (ПК) по опазване на околната среда, земеделие и гори (мандат 2019 - 2023 г.) на Столичен общински съвет.</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Съгласно актуализираните Вътрешни правила за дейността на ПК по опазване на околната среда, земеделие и гори тя изпълнява следните обобщени функции:</w:t>
      </w:r>
    </w:p>
    <w:p w:rsidR="00C301A2" w:rsidRDefault="00D43C36">
      <w:pPr>
        <w:numPr>
          <w:ilvl w:val="0"/>
          <w:numId w:val="1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съгласува цялостни дългосрочни и краткосрочни стратегии и програми за осъществяване политиките на Столична община по опазване на околната среда, работата на институциите и дейностите, свързани с предмета на нейната работа и от нейната компетентност;</w:t>
      </w:r>
    </w:p>
    <w:p w:rsidR="00C301A2" w:rsidRDefault="00D43C36">
      <w:pPr>
        <w:numPr>
          <w:ilvl w:val="0"/>
          <w:numId w:val="1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подпомага чрез становища подготовката на решенията на СОС;</w:t>
      </w:r>
    </w:p>
    <w:p w:rsidR="00C301A2" w:rsidRDefault="00D43C36">
      <w:pPr>
        <w:numPr>
          <w:ilvl w:val="0"/>
          <w:numId w:val="1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извършва и възлага проучвания и анализи и изисква информации от компетентните звена на Столична община и предлага на СОС решения на констатирани проблеми;</w:t>
      </w:r>
    </w:p>
    <w:p w:rsidR="00C301A2" w:rsidRDefault="00D43C36">
      <w:pPr>
        <w:numPr>
          <w:ilvl w:val="0"/>
          <w:numId w:val="1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инициира и подпомага дейности, свързани с промени в нормативната уредба, относно предмета на дейност на Комисията и нейната компетентност;</w:t>
      </w:r>
    </w:p>
    <w:p w:rsidR="00C301A2" w:rsidRDefault="00D43C36">
      <w:pPr>
        <w:numPr>
          <w:ilvl w:val="0"/>
          <w:numId w:val="1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получава становища от другите постоянни комисии на СОС, кмета и заместник-кметовете и компетентните звена на Столична община, районните администрации и кметства, дружествата с общинско участие и други засегнати структури на CO, с цел изясняване на въпроси и казуси, свързани с дейността й;</w:t>
      </w:r>
    </w:p>
    <w:p w:rsidR="00C301A2" w:rsidRDefault="00D43C36">
      <w:pPr>
        <w:numPr>
          <w:ilvl w:val="0"/>
          <w:numId w:val="1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 контрол по изпълнението на решенията на СОС в дейностите по опазване на околната среда и управление на общинските земи, гори и водни обекти;</w:t>
      </w:r>
    </w:p>
    <w:p w:rsidR="00C301A2" w:rsidRDefault="00D43C36">
      <w:pPr>
        <w:numPr>
          <w:ilvl w:val="0"/>
          <w:numId w:val="1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произнася се със становища по повдигнати проблеми в разпределени до нея предложения, писма, жалби и други, след фактическото им изясняване и прави предложения с оглед тяхното решаване;</w:t>
      </w:r>
    </w:p>
    <w:p w:rsidR="00C301A2" w:rsidRDefault="00D43C36">
      <w:pPr>
        <w:numPr>
          <w:ilvl w:val="0"/>
          <w:numId w:val="1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предприема инициативи, свързани с опазване и подобряване състоянието на околната среда на територията на Столична община;</w:t>
      </w:r>
    </w:p>
    <w:p w:rsidR="00C301A2" w:rsidRDefault="00D43C36">
      <w:pPr>
        <w:numPr>
          <w:ilvl w:val="0"/>
          <w:numId w:val="12"/>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партнира и съдейства за осъществяването на инициативи на структури на гражданското общество /сдружения, фондации, инициативни комитети/, насочени към постигане целите на политиките на Столична община по опазване на околната среда.</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Комисията се състои от 13 общински съветници, избрани от Столичен общински съвет (СОС), а ръководството се осъществява от председател и заместник- председатели, избирани от СОС. За изпълнение на своите задачи, Комисията приема шестмесечна работна програма и – съответно - представя доклад за своята дейност за същия срок. Работната програма и докладът на Комисията са публични и се обявяват по реда на Правилника за организацията и дейността на СОС. Заседанията на ПК по опазване на околната среда, земеделие и гори са редовни и извънредни, като редовните заседания се провеждат по график, не по-малко от 2 пъти месечно. При необходимост от решаване на неотложни въпроси, ПК по опазване на околната среда, земеделие и гори може да провежда извънредни заседания по искане най-малко на 1/3 от членовете й или от председателя на СОС.</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За изпълнение на своите задачи, комисията може да привлича външни лица като експерти и консултанти, притежаващи съответната квалификация и образователен ценз, и/или практически опит. Работата на ПК по опазване на околната среда, земеделие и гори се подпомага експертно от изрично посочен служител на Дирекция "Секретариат на Столичен общински съвет”.</w:t>
      </w:r>
    </w:p>
    <w:p w:rsidR="00C301A2" w:rsidRDefault="00D43C36">
      <w:pPr>
        <w:jc w:val="both"/>
        <w:rPr>
          <w:rFonts w:ascii="Palatino Linotype" w:eastAsia="Palatino Linotype" w:hAnsi="Palatino Linotype" w:cs="Palatino Linotype"/>
        </w:rPr>
      </w:pPr>
      <w:r>
        <w:rPr>
          <w:rFonts w:ascii="Palatino Linotype" w:eastAsia="Palatino Linotype" w:hAnsi="Palatino Linotype" w:cs="Palatino Linotype"/>
        </w:rPr>
        <w:tab/>
        <w:t>По отношение на функцията за привличане на обществеността – съгласно правилата, заседанията на комисията са открити. По решение на комисията може да се провеждат и закрити заседания, в това число и по отделни точки от дневния ред на комисията, когато се налага за запазване на защитена от закона информация или нравствеността. Откритите заседания на комисията се излъчват пряко на електронната страница на Столичния общински съвет, като направените записи остават видими в архив на заседанията. По решение на комисията може да се допускат аудио и видеозаписи от акредитирани журналисти, както и от граждани по конкретни въпроси, включени в дневния ред от заседанията на комисията. Дневният ред и материалите за закритите заседания на комисията се предоставят преди заседанието на комисията. В същите срокове на електронната страница на СОС се публикува обявление, че заседанието или отделни негови точки ще бъдат закрити.</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Районни администрации</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На територията на СО са обособени следните районни администрации:</w:t>
      </w:r>
    </w:p>
    <w:tbl>
      <w:tblPr>
        <w:tblStyle w:val="af1"/>
        <w:tblW w:w="5807"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5807"/>
      </w:tblGrid>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Банкя</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Витоша</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Връбница</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Възраждане</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Изгрев</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Илинден</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Искър</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Красна поляна</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Красно село</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Кремиковци</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Лозенец</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Люлин</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Младост</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Надежда</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Нови Искър</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Оборище</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Овча купел</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Панчарево</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Подуяне</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Сердика</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Слатина</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Средец</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Студентски</w:t>
            </w:r>
          </w:p>
        </w:tc>
      </w:tr>
      <w:tr w:rsidR="00C301A2" w:rsidRPr="001024B0" w:rsidTr="001024B0">
        <w:trPr>
          <w:jc w:val="center"/>
        </w:trPr>
        <w:tc>
          <w:tcPr>
            <w:tcW w:w="58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C301A2" w:rsidRPr="001024B0" w:rsidRDefault="00D43C36" w:rsidP="001024B0">
            <w:pPr>
              <w:tabs>
                <w:tab w:val="left" w:pos="284"/>
              </w:tabs>
              <w:spacing w:after="0"/>
              <w:jc w:val="both"/>
              <w:rPr>
                <w:rFonts w:ascii="Palatino Linotype" w:eastAsia="Palatino Linotype" w:hAnsi="Palatino Linotype" w:cs="Palatino Linotype"/>
                <w:color w:val="000000"/>
                <w:sz w:val="20"/>
                <w:szCs w:val="20"/>
              </w:rPr>
            </w:pPr>
            <w:r w:rsidRPr="001024B0">
              <w:rPr>
                <w:rFonts w:ascii="Palatino Linotype" w:eastAsia="Palatino Linotype" w:hAnsi="Palatino Linotype" w:cs="Palatino Linotype"/>
                <w:color w:val="000000"/>
                <w:sz w:val="20"/>
                <w:szCs w:val="20"/>
              </w:rPr>
              <w:t>Триадица</w:t>
            </w:r>
          </w:p>
        </w:tc>
      </w:tr>
    </w:tbl>
    <w:p w:rsidR="00C301A2" w:rsidRDefault="00C301A2">
      <w:pPr>
        <w:jc w:val="both"/>
        <w:rPr>
          <w:rFonts w:ascii="Palatino Linotype" w:eastAsia="Palatino Linotype" w:hAnsi="Palatino Linotype" w:cs="Palatino Linotype"/>
        </w:rPr>
      </w:pPr>
    </w:p>
    <w:p w:rsidR="00C301A2" w:rsidRPr="001024B0" w:rsidRDefault="00D43C36" w:rsidP="001024B0">
      <w:pPr>
        <w:ind w:firstLine="708"/>
        <w:jc w:val="both"/>
      </w:pPr>
      <w:r>
        <w:rPr>
          <w:rFonts w:ascii="Palatino Linotype" w:eastAsia="Palatino Linotype" w:hAnsi="Palatino Linotype" w:cs="Palatino Linotype"/>
        </w:rPr>
        <w:t>Районните кметове изпълняват делегирани от кмета на СО правомощия по управлението на отпадъците на територията на съответния район, с функции, както са посочени в т. 4.5.1.1. Контролните функции на територията на районите се изпълнява от Районни инспекторати към Столичен инспекторат с функции, посочени в т. 4.5.1.2.</w:t>
      </w:r>
    </w:p>
    <w:p w:rsidR="00C301A2" w:rsidRDefault="00D43C36">
      <w:pPr>
        <w:jc w:val="both"/>
      </w:pPr>
      <w:r>
        <w:rPr>
          <w:rFonts w:ascii="Palatino Linotype" w:eastAsia="Palatino Linotype" w:hAnsi="Palatino Linotype" w:cs="Palatino Linotype"/>
          <w:b/>
        </w:rPr>
        <w:t xml:space="preserve">Общинско предприятие "Столично предприятие за третиране на отпадъци" - </w:t>
      </w:r>
      <w:hyperlink r:id="rId13">
        <w:r>
          <w:rPr>
            <w:rFonts w:ascii="Palatino Linotype" w:eastAsia="Palatino Linotype" w:hAnsi="Palatino Linotype" w:cs="Palatino Linotype"/>
            <w:color w:val="0563C1"/>
            <w:u w:val="single"/>
          </w:rPr>
          <w:t>http://spto.bg</w:t>
        </w:r>
      </w:hyperlink>
      <w:r>
        <w:rPr>
          <w:rFonts w:ascii="Palatino Linotype" w:eastAsia="Palatino Linotype" w:hAnsi="Palatino Linotype" w:cs="Palatino Linotype"/>
          <w:b/>
        </w:rPr>
        <w:t xml:space="preserve"> </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Общинско предприятие "Столично предприятие за третиране на отпадъци" (ОП СПТО) е създадено с Решение №223/16.05.2013 г. на Столичен общински съвет и осъществява дейности по третиране на отпадъци, управление, експлоатация, поддръжка, ремонт и подмяна на съоръжения за третиране на битовите отпадъци на Столична община, както и осъществяване на мониторинг, рекултивация и следексплоатационни грижи на съоръженията за третиране и обезвреждане на битови отпадъци, и организиране на дейности, свързани с повторна употреба, рециклиране, оползотворяване и обезвреждане на отпадъци за постигане на целите, съгласно общинските програми за управление на дейностите по отпадъците.</w:t>
      </w:r>
    </w:p>
    <w:p w:rsidR="00C301A2" w:rsidRDefault="00D43C36">
      <w:pPr>
        <w:numPr>
          <w:ilvl w:val="0"/>
          <w:numId w:val="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 СПТО изпълнява основно функции по предоставяне на услуги за управление на отпадъците (съгл. Чл. 6 на Правилник за организацията и дейността), както следва:</w:t>
      </w:r>
    </w:p>
    <w:p w:rsidR="00C301A2" w:rsidRDefault="00D43C36">
      <w:pPr>
        <w:numPr>
          <w:ilvl w:val="0"/>
          <w:numId w:val="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Извършва дейности по третиране на отпадъците, които се образуват на територията на Столична община, в съответствие с издадените разрешителни за третиране на отпадъци за съответните съоръжения</w:t>
      </w:r>
    </w:p>
    <w:p w:rsidR="00C301A2" w:rsidRDefault="00D43C36">
      <w:pPr>
        <w:numPr>
          <w:ilvl w:val="0"/>
          <w:numId w:val="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Води и отчита дейностите по третиране на отпадъците, както и последващата реализация на получените материали и крайни продукти, въвежда данните в Информационната система за управление на отпадъците</w:t>
      </w:r>
    </w:p>
    <w:p w:rsidR="00C301A2" w:rsidRDefault="00D43C36">
      <w:pPr>
        <w:numPr>
          <w:ilvl w:val="0"/>
          <w:numId w:val="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Спазва всички приложими условия на законодателството на ЕС, свързани с неговата работа и всички клаузи, по които са необходими разрешителни за околната среда или други лицензи, разрешения и подобни документи</w:t>
      </w:r>
    </w:p>
    <w:p w:rsidR="00C301A2" w:rsidRDefault="00D43C36">
      <w:pPr>
        <w:numPr>
          <w:ilvl w:val="0"/>
          <w:numId w:val="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Осигурява създаването на продукти, материали или субстанции, произведени вследствие работата на съоръженията в съответствие с приложимите стандарти или критерии</w:t>
      </w:r>
    </w:p>
    <w:p w:rsidR="00C301A2" w:rsidRDefault="00D43C36">
      <w:pPr>
        <w:numPr>
          <w:ilvl w:val="0"/>
          <w:numId w:val="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Спазва всички надлежно одобрени инструкции, издавани при необходимост от упълномощените по съответния ред представители на Столична община за осигуряването на изпълнението на задълженията по настоящия Правилник и Проекта за отпадъците на СО</w:t>
      </w:r>
      <w:r>
        <w:rPr>
          <w:rFonts w:ascii="Palatino Linotype" w:eastAsia="Palatino Linotype" w:hAnsi="Palatino Linotype" w:cs="Palatino Linotype"/>
          <w:color w:val="000000"/>
          <w:vertAlign w:val="superscript"/>
        </w:rPr>
        <w:footnoteReference w:id="1"/>
      </w:r>
    </w:p>
    <w:p w:rsidR="00C301A2" w:rsidRDefault="00D43C36">
      <w:pPr>
        <w:numPr>
          <w:ilvl w:val="0"/>
          <w:numId w:val="1"/>
        </w:numPr>
        <w:pBdr>
          <w:top w:val="nil"/>
          <w:left w:val="nil"/>
          <w:bottom w:val="nil"/>
          <w:right w:val="nil"/>
          <w:between w:val="nil"/>
        </w:pBd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 възникнала необходимост, извършва и други съпътстващи дейностите по управление на отпадъци и при възлагане от страна на Кмета на Столична община.</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ОП СПТО е стопанска структура, чрез която Столична община осъществява самостоятелно стопанска дейност по смисъла на глава VI от ЗОС. ОП СПТО не е юридическо лице и действа от името и за сметка на Столична община. Кметът на Столична община координира и контролира осъществяването на цялостната дейност на ОП СПТО.</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Общата численост на персонала на ОП СПТО е 307 души. Предприятието управлява автомобили и механизация, както и следните инсталации:</w:t>
      </w:r>
    </w:p>
    <w:p w:rsidR="00C301A2" w:rsidRDefault="00D43C36">
      <w:pPr>
        <w:numPr>
          <w:ilvl w:val="0"/>
          <w:numId w:val="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Завод за механично-биологично третиране на отпадъци с производство на RDF-гориво</w:t>
      </w:r>
    </w:p>
    <w:p w:rsidR="00C301A2" w:rsidRDefault="00D43C36">
      <w:pPr>
        <w:numPr>
          <w:ilvl w:val="0"/>
          <w:numId w:val="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Депо за неопасни отпадъци с пречиствателна станция за инфилтрата на площадка „Садината"</w:t>
      </w:r>
    </w:p>
    <w:p w:rsidR="00C301A2" w:rsidRDefault="00D43C36">
      <w:pPr>
        <w:numPr>
          <w:ilvl w:val="0"/>
          <w:numId w:val="2"/>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Площадка „Хан Богров“ - Инсталация за компостиране на разделно събрани биологични отпадъци</w:t>
      </w:r>
    </w:p>
    <w:p w:rsidR="00C301A2" w:rsidRDefault="00D43C36">
      <w:pPr>
        <w:numPr>
          <w:ilvl w:val="0"/>
          <w:numId w:val="2"/>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Площадка „Хан Богров“ - Инсталация за компостиране на разделно събрани градински („зелени“) отпадъци</w:t>
      </w:r>
    </w:p>
    <w:p w:rsidR="00C301A2" w:rsidRDefault="00C301A2">
      <w:pPr>
        <w:jc w:val="both"/>
        <w:rPr>
          <w:rFonts w:ascii="Palatino Linotype" w:eastAsia="Palatino Linotype" w:hAnsi="Palatino Linotype" w:cs="Palatino Linotype"/>
        </w:rPr>
      </w:pPr>
    </w:p>
    <w:p w:rsidR="00C301A2" w:rsidRDefault="00D43C36">
      <w:pPr>
        <w:jc w:val="both"/>
        <w:rPr>
          <w:rFonts w:ascii="Palatino Linotype" w:eastAsia="Palatino Linotype" w:hAnsi="Palatino Linotype" w:cs="Palatino Linotype"/>
        </w:rPr>
      </w:pPr>
      <w:r>
        <w:rPr>
          <w:noProof/>
          <w:lang w:val="en-GB" w:eastAsia="en-GB"/>
        </w:rPr>
        <w:drawing>
          <wp:inline distT="0" distB="0" distL="0" distR="0">
            <wp:extent cx="5857875" cy="3790950"/>
            <wp:effectExtent l="0" t="0" r="0" b="0"/>
            <wp:docPr id="3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4"/>
                    <a:srcRect/>
                    <a:stretch>
                      <a:fillRect/>
                    </a:stretch>
                  </pic:blipFill>
                  <pic:spPr>
                    <a:xfrm>
                      <a:off x="0" y="0"/>
                      <a:ext cx="5857875" cy="3790950"/>
                    </a:xfrm>
                    <a:prstGeom prst="rect">
                      <a:avLst/>
                    </a:prstGeom>
                    <a:ln/>
                  </pic:spPr>
                </pic:pic>
              </a:graphicData>
            </a:graphic>
          </wp:inline>
        </w:drawing>
      </w:r>
    </w:p>
    <w:p w:rsidR="00C301A2" w:rsidRPr="001024B0" w:rsidRDefault="00D43C36" w:rsidP="001024B0">
      <w:pPr>
        <w:ind w:firstLine="708"/>
        <w:jc w:val="center"/>
        <w:rPr>
          <w:rFonts w:ascii="Palatino Linotype" w:eastAsia="Palatino Linotype" w:hAnsi="Palatino Linotype" w:cs="Palatino Linotype"/>
          <w:i/>
        </w:rPr>
      </w:pPr>
      <w:r>
        <w:rPr>
          <w:rFonts w:ascii="Palatino Linotype" w:eastAsia="Palatino Linotype" w:hAnsi="Palatino Linotype" w:cs="Palatino Linotype"/>
          <w:i/>
        </w:rPr>
        <w:t>Фиг. 2. Организационна структура на ОП СПТО</w:t>
      </w:r>
    </w:p>
    <w:p w:rsidR="00C301A2" w:rsidRDefault="00D43C36">
      <w:pPr>
        <w:jc w:val="both"/>
        <w:rPr>
          <w:rFonts w:ascii="Palatino Linotype" w:eastAsia="Palatino Linotype" w:hAnsi="Palatino Linotype" w:cs="Palatino Linotype"/>
          <w:b/>
        </w:rPr>
      </w:pPr>
      <w:r>
        <w:rPr>
          <w:rFonts w:ascii="Palatino Linotype" w:eastAsia="Palatino Linotype" w:hAnsi="Palatino Linotype" w:cs="Palatino Linotype"/>
          <w:b/>
        </w:rPr>
        <w:t>Външни договори и концесии</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За качественото изпълнение на някои от функциите по управлението на отпадъците, Столична община е сключила договори по реда на ЗОП с външни лица – фирми и организации за:</w:t>
      </w:r>
    </w:p>
    <w:p w:rsidR="00C301A2" w:rsidRDefault="00D43C36">
      <w:pPr>
        <w:numPr>
          <w:ilvl w:val="0"/>
          <w:numId w:val="1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Събиране и транспортиране на битови отпадъци; </w:t>
      </w:r>
    </w:p>
    <w:p w:rsidR="00C301A2" w:rsidRDefault="00D43C36">
      <w:pPr>
        <w:numPr>
          <w:ilvl w:val="0"/>
          <w:numId w:val="1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Подмяна и поддръжка на съдове за битови отпадъци; </w:t>
      </w:r>
    </w:p>
    <w:p w:rsidR="00C301A2" w:rsidRDefault="00D43C36">
      <w:pPr>
        <w:numPr>
          <w:ilvl w:val="0"/>
          <w:numId w:val="1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Лятно и зимно почистване на улици и други места за обществено ползване</w:t>
      </w:r>
    </w:p>
    <w:p w:rsidR="00C301A2" w:rsidRDefault="00D43C36">
      <w:pPr>
        <w:numPr>
          <w:ilvl w:val="0"/>
          <w:numId w:val="1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Предоставяне на услуги по предварително третиране на смесени битови отпадъци на Столична община, включващи: сепариране, рециклиране, транспортиране, оползотворяване (термично или чрез други методи) и предаване за обезвреждане на отпадъци</w:t>
      </w:r>
    </w:p>
    <w:p w:rsidR="00C301A2" w:rsidRDefault="00D43C36">
      <w:pPr>
        <w:numPr>
          <w:ilvl w:val="0"/>
          <w:numId w:val="17"/>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Изпълнение на дейности по разделно събиране на МРО</w:t>
      </w:r>
    </w:p>
    <w:p w:rsidR="00C301A2" w:rsidRPr="001024B0" w:rsidRDefault="00D43C36" w:rsidP="001024B0">
      <w:pPr>
        <w:numPr>
          <w:ilvl w:val="0"/>
          <w:numId w:val="17"/>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Проучване, проектиране и изграждане на нови съоръжения и рекултивация на депа</w:t>
      </w:r>
    </w:p>
    <w:p w:rsidR="00C301A2" w:rsidRPr="001024B0" w:rsidRDefault="00D43C36" w:rsidP="001024B0">
      <w:pPr>
        <w:numPr>
          <w:ilvl w:val="3"/>
          <w:numId w:val="30"/>
        </w:numPr>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Контролни функции</w:t>
      </w:r>
    </w:p>
    <w:p w:rsidR="00C301A2" w:rsidRDefault="00D43C36">
      <w:pPr>
        <w:ind w:firstLine="708"/>
        <w:jc w:val="both"/>
      </w:pPr>
      <w:r>
        <w:rPr>
          <w:rFonts w:ascii="Palatino Linotype" w:eastAsia="Palatino Linotype" w:hAnsi="Palatino Linotype" w:cs="Palatino Linotype"/>
        </w:rPr>
        <w:t xml:space="preserve">Основната част от функциите по осъществяване на непосредствения контрол в областта на управлението на отпадъците са вменени на </w:t>
      </w:r>
      <w:r>
        <w:rPr>
          <w:rFonts w:ascii="Palatino Linotype" w:eastAsia="Palatino Linotype" w:hAnsi="Palatino Linotype" w:cs="Palatino Linotype"/>
          <w:b/>
        </w:rPr>
        <w:t xml:space="preserve">Столичен инспекторат - </w:t>
      </w:r>
      <w:hyperlink r:id="rId15">
        <w:r>
          <w:rPr>
            <w:rFonts w:ascii="Palatino Linotype" w:eastAsia="Palatino Linotype" w:hAnsi="Palatino Linotype" w:cs="Palatino Linotype"/>
            <w:color w:val="0563C1"/>
            <w:u w:val="single"/>
          </w:rPr>
          <w:t>https://inspectorat-so.org</w:t>
        </w:r>
      </w:hyperlink>
      <w:r>
        <w:rPr>
          <w:rFonts w:ascii="Palatino Linotype" w:eastAsia="Palatino Linotype" w:hAnsi="Palatino Linotype" w:cs="Palatino Linotype"/>
        </w:rPr>
        <w:t xml:space="preserve"> .</w:t>
      </w:r>
    </w:p>
    <w:p w:rsidR="00C301A2" w:rsidRDefault="00D43C36" w:rsidP="001024B0">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Столичен инспекторат осъществява контрол по спазване от страна на всички юридически и физически лица на територията на Столична община на нормативните актове на Столичен общински съвет, на законите и подзаконовите нормативни актове, както и на договори, по които страна е Столична община, когато такива функции са му възложени от Кмета на Столична община или от Столичен общински съвет. </w:t>
      </w:r>
    </w:p>
    <w:p w:rsidR="00C301A2" w:rsidRDefault="00D43C36">
      <w:pPr>
        <w:jc w:val="both"/>
        <w:rPr>
          <w:rFonts w:ascii="Palatino Linotype" w:eastAsia="Palatino Linotype" w:hAnsi="Palatino Linotype" w:cs="Palatino Linotype"/>
        </w:rPr>
      </w:pPr>
      <w:r>
        <w:rPr>
          <w:noProof/>
          <w:lang w:val="en-GB" w:eastAsia="en-GB"/>
        </w:rPr>
        <w:drawing>
          <wp:inline distT="0" distB="0" distL="0" distR="0">
            <wp:extent cx="5829300" cy="4155440"/>
            <wp:effectExtent l="0" t="0" r="0" b="0"/>
            <wp:docPr id="3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a:stretch>
                      <a:fillRect/>
                    </a:stretch>
                  </pic:blipFill>
                  <pic:spPr>
                    <a:xfrm>
                      <a:off x="0" y="0"/>
                      <a:ext cx="5829300" cy="4155440"/>
                    </a:xfrm>
                    <a:prstGeom prst="rect">
                      <a:avLst/>
                    </a:prstGeom>
                    <a:ln/>
                  </pic:spPr>
                </pic:pic>
              </a:graphicData>
            </a:graphic>
          </wp:inline>
        </w:drawing>
      </w:r>
    </w:p>
    <w:p w:rsidR="00C301A2" w:rsidRPr="001024B0" w:rsidRDefault="00D43C36" w:rsidP="001024B0">
      <w:pPr>
        <w:jc w:val="both"/>
        <w:rPr>
          <w:rFonts w:ascii="Palatino Linotype" w:eastAsia="Palatino Linotype" w:hAnsi="Palatino Linotype" w:cs="Palatino Linotype"/>
          <w:i/>
        </w:rPr>
      </w:pPr>
      <w:r>
        <w:rPr>
          <w:rFonts w:ascii="Palatino Linotype" w:eastAsia="Palatino Linotype" w:hAnsi="Palatino Linotype" w:cs="Palatino Linotype"/>
          <w:i/>
        </w:rPr>
        <w:t>Фиг. 3. Организационна структура на Столичен инспекторат</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Столичен инспекторат е контролна структура и не предлага административни услуги. Съгласно административното деление, територията на СО се разделя на 24 района. С цел оперативност, ефективен контрол и отчетност, Столичен инспекторат допълнително разделя районите на 233 сектора, за всеки от които отговарят съответно:</w:t>
      </w:r>
    </w:p>
    <w:p w:rsidR="00C301A2" w:rsidRDefault="00D43C36">
      <w:pPr>
        <w:numPr>
          <w:ilvl w:val="0"/>
          <w:numId w:val="20"/>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Началник районен инспекторат</w:t>
      </w:r>
    </w:p>
    <w:p w:rsidR="00C301A2" w:rsidRDefault="00D43C36">
      <w:pPr>
        <w:numPr>
          <w:ilvl w:val="0"/>
          <w:numId w:val="20"/>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Главен/Старши инспектор (секторен отговорник)</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Столичен инспекторат осъществява контрол на качеството на изпълнението на дейностите на фирмите-изпълнители, сключили договори със СО, както следва:</w:t>
      </w:r>
    </w:p>
    <w:p w:rsidR="00C301A2" w:rsidRDefault="00D43C36">
      <w:pPr>
        <w:numPr>
          <w:ilvl w:val="0"/>
          <w:numId w:val="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събирането и транспортирането на отпадъци, почистване и поддържане на улици и места за обществено ползване – 10 договора</w:t>
      </w:r>
    </w:p>
    <w:p w:rsidR="00C301A2" w:rsidRDefault="00D43C36">
      <w:pPr>
        <w:numPr>
          <w:ilvl w:val="0"/>
          <w:numId w:val="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организиране на система за разделно събиране на отпадъци от опаковки – 4 договора</w:t>
      </w:r>
    </w:p>
    <w:p w:rsidR="00C301A2" w:rsidRDefault="00D43C36">
      <w:pPr>
        <w:numPr>
          <w:ilvl w:val="0"/>
          <w:numId w:val="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организиране на система за разделно събиране на отпадъци от облекла и текстилни материали – 2  договора</w:t>
      </w:r>
    </w:p>
    <w:p w:rsidR="00C301A2" w:rsidRDefault="00D43C36">
      <w:pPr>
        <w:numPr>
          <w:ilvl w:val="0"/>
          <w:numId w:val="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организиране на система за разделно събиране на излязло от употреба електрическо и електронно оборудване – 2 бр.</w:t>
      </w:r>
    </w:p>
    <w:p w:rsidR="00C301A2" w:rsidRDefault="00D43C36">
      <w:pPr>
        <w:numPr>
          <w:ilvl w:val="0"/>
          <w:numId w:val="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организиране на система за разделно събиране, приемане за последващо третиране и обезвреждане на опасни отпадъци от домакинствата – 1 договор</w:t>
      </w:r>
    </w:p>
    <w:p w:rsidR="00C301A2" w:rsidRPr="001024B0" w:rsidRDefault="00D43C36" w:rsidP="001024B0">
      <w:pPr>
        <w:numPr>
          <w:ilvl w:val="0"/>
          <w:numId w:val="3"/>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събиране, транспортиране и предаване за оползотворяване  и/или обезвреждане на отработени масла – 1 договор</w:t>
      </w:r>
    </w:p>
    <w:p w:rsidR="00C301A2" w:rsidRDefault="00D43C36" w:rsidP="001024B0">
      <w:pPr>
        <w:jc w:val="both"/>
        <w:rPr>
          <w:rFonts w:ascii="Palatino Linotype" w:eastAsia="Palatino Linotype" w:hAnsi="Palatino Linotype" w:cs="Palatino Linotype"/>
        </w:rPr>
      </w:pPr>
      <w:r>
        <w:rPr>
          <w:rFonts w:ascii="Palatino Linotype" w:eastAsia="Palatino Linotype" w:hAnsi="Palatino Linotype" w:cs="Palatino Linotype"/>
        </w:rPr>
        <w:t>Контролът се осъществява на 2 нива:</w:t>
      </w:r>
    </w:p>
    <w:p w:rsidR="00C301A2" w:rsidRPr="001024B0" w:rsidRDefault="00D43C36" w:rsidP="001024B0">
      <w:pPr>
        <w:numPr>
          <w:ilvl w:val="0"/>
          <w:numId w:val="5"/>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Първо ниво на контрол се извършва в районните инспекторати, дневна и нощна смяна, както следва:  </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 се контрол на пълният обем на дейностите по графика за деня, както и дейностите, които се изпълняват по Заявка за допълнително възлагане, в съответствие с критериите и изискванията в Техническите спецификации, неразделна част от Договорите за възлагане на обществена поръчка.</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 изпълнение на дейност „Събиране и транспортиране на контейнери до съоръжение за третиране” в районите, където се дейността се извършва в нощна смяна, дежурните инспектори осъществяват контрол, съобразен с началния и крайния час на изпълнението на дейността по графика.</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районите, където се извършва дейността в дневна смяна, графикът на инспекторите е съобразен с началния и крайния час на изпълнение.</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Инспекторите в районите осъществяват физически контрол, чрез оглед на място в реално време и по GPS системата до приключване на дейността, а именно:</w:t>
      </w:r>
    </w:p>
    <w:p w:rsidR="00C301A2" w:rsidRDefault="00D43C36">
      <w:pPr>
        <w:numPr>
          <w:ilvl w:val="1"/>
          <w:numId w:val="2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 по спазване на часовия, маршрутен трафик и кратностите;</w:t>
      </w:r>
    </w:p>
    <w:p w:rsidR="00C301A2" w:rsidRDefault="00D43C36">
      <w:pPr>
        <w:numPr>
          <w:ilvl w:val="1"/>
          <w:numId w:val="2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Недопускане неизвозени или пропуснати контейнери за БО в наряда.</w:t>
      </w:r>
    </w:p>
    <w:p w:rsidR="00C301A2" w:rsidRDefault="00D43C36">
      <w:pPr>
        <w:numPr>
          <w:ilvl w:val="1"/>
          <w:numId w:val="2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Почистване на всички видове отпадъци около тях, кашони, картони, пликове с отпадъци и др. след обслужването им.</w:t>
      </w:r>
    </w:p>
    <w:p w:rsidR="00C301A2" w:rsidRDefault="00D43C36">
      <w:pPr>
        <w:numPr>
          <w:ilvl w:val="1"/>
          <w:numId w:val="2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Почистване на територията около тези за разделно събиране на отпадъци от опаковки.  </w:t>
      </w:r>
    </w:p>
    <w:p w:rsidR="00C301A2" w:rsidRDefault="00D43C36">
      <w:pPr>
        <w:numPr>
          <w:ilvl w:val="1"/>
          <w:numId w:val="2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След почистване на контейнерите, същите да са върнати на определените места и в „джобовете“, където има изградени такива, поставени с отвора към тротоара и затворени капаци.</w:t>
      </w:r>
    </w:p>
    <w:p w:rsidR="00C301A2" w:rsidRDefault="00D43C36">
      <w:pPr>
        <w:numPr>
          <w:ilvl w:val="1"/>
          <w:numId w:val="23"/>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констатирано неизпълнение се налагат санкции.</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процеса на извършвания контрол се проверяват специализираните автомобили, относно оборудването им със съответния инвентар — метла и лопата за почистване на територията. При констатирана липса се налагат санкции.</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 констатиране на технически неизправни контейнери, се съставя констативен протокол (КП) и в случай, че не се подменят в срок от 24 ч. се налага санкция.</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случаите, където се констатира запълване, замърсяване около контейнерите се прави преценка и предложение за необходимостта от допълнителни съдове или увеличаване на кратностите. Съставя се КП, който се предава в сектор „Анализ и отчетност” за отразяване в Оперативните планове.</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 дейност „Събиране и транспортиране на едрогабаритни отпадъци", която се извършва по заявка се осъществява контрол по спазване на графиците, като не се допуска смесването на различните видове отпадъци при събирането им и се почиства територията след вдигането им. За непочистена територия на тротоара и тревните площи след вдигането се налагат санкции. контрола да се осъществява в реално време и по GPS системата.</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При изпълнение на дейността с предимство се извозват едрогабаритните отпадъци по маршрута на градски транспорт, като се спазва регламентираното работно време, след което се влиза във вътрешно-квартални улици.   </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 се осъществява периодично и на депо „Враждебна” по изпълнение на Заявките за транспортиране на едрогабаритни отпадъци, чрез визуален оглед на отпадъка в превозните средства.</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Ежедневно, след извършения контрол във всеки сектор, началникът на районния инспекторат, съвместно с представители на фирмите, извършващи дейност „Чистота“ изготвят Ежедневен констативен протокол /ЕКП/ за изпълнените дейности. След приключване на всеки месец, на база двустранно подписаните ЕКП, районният инспекторат съвместно с представители на фирмата изпълнител, изготвят Обобщен констативен протокол /ОКП/ за месеца по видове дейности.</w:t>
      </w:r>
    </w:p>
    <w:p w:rsidR="00C301A2" w:rsidRDefault="00D43C36">
      <w:pPr>
        <w:numPr>
          <w:ilvl w:val="0"/>
          <w:numId w:val="22"/>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 на фирмите сключили договори по чл. 24 от Наредбата за определяне, и администриране на местни данъци и такси и издадените заповеди на Кмета на СО. Проверка на обектите, относно броя на заредените съдове за БО и състоянието на чистотата на територията. Съставят се констативни протоколи и при констатирани нарушения се налагат санкции.</w:t>
      </w:r>
    </w:p>
    <w:p w:rsidR="00C301A2" w:rsidRPr="001024B0" w:rsidRDefault="00D43C36" w:rsidP="001024B0">
      <w:pPr>
        <w:numPr>
          <w:ilvl w:val="0"/>
          <w:numId w:val="22"/>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 се контрол по Договорите за: разделно събиране на отпадъци от опаковки и отпадъци от облекла и текстилни материали. Контролира се спазването на графика за извозване на различните цветове контейнери, както и техническото състояние на контейнерите. Съставят се констативни протоколи, в които се отразяват констатациите, дават се предписания със срокове за изпълнение.</w:t>
      </w:r>
    </w:p>
    <w:p w:rsidR="00C301A2" w:rsidRPr="001024B0" w:rsidRDefault="00D43C36" w:rsidP="001024B0">
      <w:pPr>
        <w:numPr>
          <w:ilvl w:val="0"/>
          <w:numId w:val="5"/>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Второ ниво на контрол се осъществява от експерти към методическите отдели и сектори на Столичен инспекторат, дневна и нощна смяна:</w:t>
      </w:r>
    </w:p>
    <w:p w:rsidR="00C301A2" w:rsidRDefault="00D43C36">
      <w:pPr>
        <w:numPr>
          <w:ilvl w:val="0"/>
          <w:numId w:val="16"/>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Разработват методически указания, процедури, изготвят се експертни становища за подобряване организацията и ефективността на контрола в районните инспекторати.</w:t>
      </w:r>
    </w:p>
    <w:p w:rsidR="00C301A2" w:rsidRDefault="00D43C36">
      <w:pPr>
        <w:numPr>
          <w:ilvl w:val="0"/>
          <w:numId w:val="16"/>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Осъществяват контрол на количеството и качеството на изпълнение на механизираните дейности: „Събиране и транспортиране на контейнери до съоръжение за третиране“  „Събиране и транспортиране на едрогабаритни отпадъци”, Събиране и транспортиране на   отпадъци от опаковки“ и др. с физическото си присъствие и оглед на място в дневна и нощна смяна.</w:t>
      </w:r>
    </w:p>
    <w:p w:rsidR="00C301A2" w:rsidRDefault="00D43C36">
      <w:pPr>
        <w:numPr>
          <w:ilvl w:val="0"/>
          <w:numId w:val="16"/>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 относно спазване изискванията по Договорите и критериите, заложени в Техническите спецификации към тях в дневна и нощна смяна.</w:t>
      </w:r>
    </w:p>
    <w:p w:rsidR="00C301A2" w:rsidRDefault="00D43C36">
      <w:pPr>
        <w:numPr>
          <w:ilvl w:val="0"/>
          <w:numId w:val="16"/>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Контрол по спазването на часовите маршрутни графици за деня, както и дейностите, които се изпълняват по Заявки за допълнително възлагане.</w:t>
      </w:r>
    </w:p>
    <w:p w:rsidR="00C301A2" w:rsidRPr="001024B0" w:rsidRDefault="00D43C36" w:rsidP="001024B0">
      <w:pPr>
        <w:numPr>
          <w:ilvl w:val="0"/>
          <w:numId w:val="16"/>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Оказване на методическа помощ в районните инспекторати по изпълнение на контролните им функции.</w:t>
      </w:r>
    </w:p>
    <w:p w:rsidR="00C301A2" w:rsidRPr="001024B0" w:rsidRDefault="00D43C36" w:rsidP="001024B0">
      <w:pPr>
        <w:numPr>
          <w:ilvl w:val="0"/>
          <w:numId w:val="5"/>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Прилагани методи и средства за контрол:</w:t>
      </w:r>
    </w:p>
    <w:p w:rsidR="00C301A2" w:rsidRDefault="00D43C36">
      <w:pPr>
        <w:numPr>
          <w:ilvl w:val="0"/>
          <w:numId w:val="2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Физическо присъствие и оглед на място;</w:t>
      </w:r>
    </w:p>
    <w:p w:rsidR="00C301A2" w:rsidRDefault="00D43C36">
      <w:pPr>
        <w:numPr>
          <w:ilvl w:val="0"/>
          <w:numId w:val="2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GPS системата в реално време;</w:t>
      </w:r>
    </w:p>
    <w:p w:rsidR="00C301A2" w:rsidRDefault="00D43C36">
      <w:pPr>
        <w:numPr>
          <w:ilvl w:val="0"/>
          <w:numId w:val="2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Видеорегистраторите на служебните автомобили;</w:t>
      </w:r>
    </w:p>
    <w:p w:rsidR="00C301A2" w:rsidRDefault="00D43C36">
      <w:pPr>
        <w:numPr>
          <w:ilvl w:val="0"/>
          <w:numId w:val="24"/>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Мобилна група към Оперативния център на Столичен инспекторат.</w:t>
      </w:r>
    </w:p>
    <w:p w:rsidR="00C301A2" w:rsidRPr="001024B0" w:rsidRDefault="00D43C36" w:rsidP="001024B0">
      <w:pPr>
        <w:numPr>
          <w:ilvl w:val="0"/>
          <w:numId w:val="24"/>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Наблюдение в реално време на над 200 броя камери в Оперативния център на Столичен  инспекторат.</w:t>
      </w:r>
    </w:p>
    <w:p w:rsidR="00C301A2" w:rsidRDefault="00D43C36">
      <w:pPr>
        <w:spacing w:after="41" w:line="244" w:lineRule="auto"/>
        <w:ind w:left="14" w:right="14" w:firstLine="6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Съобразно правомощията си Столичен инспекторат осъществява контрол върху всички търговски обекти, извършващи дейност на територията на общината и на обектите, на които се извършва строително-монтажни работи /СМР/. Също така обект на проверки са всички физически или юридически лица, осъществяващи дейност на територията на СО, които са адресат на задълженията, въведени с НУОПОЧТСО и ЗУО. Тези проверки включват:</w:t>
      </w:r>
    </w:p>
    <w:p w:rsidR="00C301A2" w:rsidRDefault="00C301A2">
      <w:pPr>
        <w:spacing w:after="34" w:line="244" w:lineRule="auto"/>
        <w:ind w:right="14"/>
        <w:jc w:val="both"/>
        <w:rPr>
          <w:rFonts w:ascii="Palatino Linotype" w:eastAsia="Palatino Linotype" w:hAnsi="Palatino Linotype" w:cs="Palatino Linotype"/>
          <w:color w:val="000000"/>
        </w:rPr>
      </w:pPr>
    </w:p>
    <w:p w:rsidR="00C301A2" w:rsidRDefault="00D43C36">
      <w:pPr>
        <w:numPr>
          <w:ilvl w:val="0"/>
          <w:numId w:val="25"/>
        </w:numPr>
        <w:spacing w:after="0" w:line="244" w:lineRule="auto"/>
        <w:ind w:right="1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търговски обекти по отношение на разделното събиране и предаване на отпадъците от</w:t>
      </w:r>
    </w:p>
    <w:p w:rsidR="00C301A2" w:rsidRDefault="00D43C36">
      <w:pPr>
        <w:numPr>
          <w:ilvl w:val="0"/>
          <w:numId w:val="25"/>
        </w:numPr>
        <w:spacing w:after="0" w:line="244" w:lineRule="auto"/>
        <w:ind w:right="1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опаковки; </w:t>
      </w:r>
    </w:p>
    <w:p w:rsidR="00C301A2" w:rsidRDefault="00D43C36">
      <w:pPr>
        <w:numPr>
          <w:ilvl w:val="0"/>
          <w:numId w:val="25"/>
        </w:numPr>
        <w:spacing w:after="0" w:line="244" w:lineRule="auto"/>
        <w:ind w:right="1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търговски обекти, заведения за обществено хранене и др. генератори на биоотпадьци по отношение на разделното им събиране и предаване;</w:t>
      </w:r>
    </w:p>
    <w:p w:rsidR="00C301A2" w:rsidRDefault="00D43C36">
      <w:pPr>
        <w:numPr>
          <w:ilvl w:val="0"/>
          <w:numId w:val="25"/>
        </w:numPr>
        <w:spacing w:after="0" w:line="244" w:lineRule="auto"/>
        <w:ind w:right="1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складови бази, производствени цехове и други, относно начина на управление на отпадъците и предотвратяване използването на горими отпадъци за отопление;</w:t>
      </w:r>
    </w:p>
    <w:p w:rsidR="00C301A2" w:rsidRDefault="00D43C36">
      <w:pPr>
        <w:numPr>
          <w:ilvl w:val="0"/>
          <w:numId w:val="25"/>
        </w:numPr>
        <w:spacing w:after="0" w:line="244" w:lineRule="auto"/>
        <w:ind w:right="1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общински и частни имоти, относно недопускане нерегламентирано изгаряне отпадъци с цел отопление; </w:t>
      </w:r>
    </w:p>
    <w:p w:rsidR="00C301A2" w:rsidRDefault="00D43C36">
      <w:pPr>
        <w:numPr>
          <w:ilvl w:val="0"/>
          <w:numId w:val="25"/>
        </w:numPr>
        <w:spacing w:after="0" w:line="244" w:lineRule="auto"/>
        <w:ind w:right="1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нерегламентирано горене на отпадъци на открито; </w:t>
      </w:r>
    </w:p>
    <w:p w:rsidR="00C301A2" w:rsidRPr="001024B0" w:rsidRDefault="00D43C36" w:rsidP="001024B0">
      <w:pPr>
        <w:numPr>
          <w:ilvl w:val="0"/>
          <w:numId w:val="25"/>
        </w:numPr>
        <w:spacing w:after="39" w:line="244" w:lineRule="auto"/>
        <w:ind w:right="1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строителни обекти, автокъщи, паркинги и др., относно недопускане използването на отпадъци за отопление.</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Няма информация за конкретния брой обекти на територията на общината, които подлежат на контрол от страна на общината по ЗУО. При проверките се съставят констативни протоколи, дават се предписания със срокове за изпълнение и при установено нарушение са налагат глоби с фиш по НУОПОЧТСО и/или се съставят актове за административни нарушения по ЗУО.</w:t>
      </w:r>
    </w:p>
    <w:p w:rsidR="00C301A2" w:rsidRDefault="00D43C36">
      <w:pPr>
        <w:ind w:firstLine="360"/>
        <w:jc w:val="both"/>
        <w:rPr>
          <w:rFonts w:ascii="Palatino Linotype" w:eastAsia="Palatino Linotype" w:hAnsi="Palatino Linotype" w:cs="Palatino Linotype"/>
        </w:rPr>
      </w:pPr>
      <w:r>
        <w:rPr>
          <w:rFonts w:ascii="Palatino Linotype" w:eastAsia="Palatino Linotype" w:hAnsi="Palatino Linotype" w:cs="Palatino Linotype"/>
        </w:rPr>
        <w:t>Най-често срещаните видове нарушения включват:</w:t>
      </w:r>
    </w:p>
    <w:p w:rsidR="00C301A2" w:rsidRDefault="00D43C36">
      <w:pPr>
        <w:numPr>
          <w:ilvl w:val="0"/>
          <w:numId w:val="11"/>
        </w:numPr>
        <w:spacing w:after="0"/>
        <w:jc w:val="both"/>
        <w:rPr>
          <w:rFonts w:ascii="Palatino Linotype" w:eastAsia="Palatino Linotype" w:hAnsi="Palatino Linotype" w:cs="Palatino Linotype"/>
        </w:rPr>
      </w:pPr>
      <w:r>
        <w:rPr>
          <w:rFonts w:ascii="Palatino Linotype" w:eastAsia="Palatino Linotype" w:hAnsi="Palatino Linotype" w:cs="Palatino Linotype"/>
        </w:rPr>
        <w:t>транспортирането на строителни материали и отпадъци, земни маси и други в транспортни средства с неуплътнени каросерии и/или без предпазни мрежи или чергила</w:t>
      </w:r>
    </w:p>
    <w:p w:rsidR="00C301A2" w:rsidRDefault="00D43C36">
      <w:pPr>
        <w:numPr>
          <w:ilvl w:val="0"/>
          <w:numId w:val="11"/>
        </w:numPr>
        <w:spacing w:after="0"/>
        <w:jc w:val="both"/>
        <w:rPr>
          <w:rFonts w:ascii="Palatino Linotype" w:eastAsia="Palatino Linotype" w:hAnsi="Palatino Linotype" w:cs="Palatino Linotype"/>
        </w:rPr>
      </w:pPr>
      <w:r>
        <w:rPr>
          <w:rFonts w:ascii="Palatino Linotype" w:eastAsia="Palatino Linotype" w:hAnsi="Palatino Linotype" w:cs="Palatino Linotype"/>
        </w:rPr>
        <w:t>излизането на транспортните средства от строителния обект с непочистена ходова част</w:t>
      </w:r>
    </w:p>
    <w:p w:rsidR="00C301A2" w:rsidRDefault="00D43C36">
      <w:pPr>
        <w:numPr>
          <w:ilvl w:val="0"/>
          <w:numId w:val="11"/>
        </w:numPr>
        <w:spacing w:after="0"/>
        <w:jc w:val="both"/>
        <w:rPr>
          <w:rFonts w:ascii="Palatino Linotype" w:eastAsia="Palatino Linotype" w:hAnsi="Palatino Linotype" w:cs="Palatino Linotype"/>
        </w:rPr>
      </w:pPr>
      <w:r>
        <w:rPr>
          <w:rFonts w:ascii="Palatino Linotype" w:eastAsia="Palatino Linotype" w:hAnsi="Palatino Linotype" w:cs="Palatino Linotype"/>
        </w:rPr>
        <w:t>неизпълнение на задължението от собственици, ползватели и фактически владелци на недвижими имоти да опазват, почистват и поддържат чистотата в имотите, дворовете, както прилежащите площи</w:t>
      </w:r>
    </w:p>
    <w:p w:rsidR="00C301A2" w:rsidRDefault="00D43C36">
      <w:pPr>
        <w:numPr>
          <w:ilvl w:val="0"/>
          <w:numId w:val="11"/>
        </w:numPr>
        <w:spacing w:after="0"/>
        <w:jc w:val="both"/>
        <w:rPr>
          <w:rFonts w:ascii="Palatino Linotype" w:eastAsia="Palatino Linotype" w:hAnsi="Palatino Linotype" w:cs="Palatino Linotype"/>
        </w:rPr>
      </w:pPr>
      <w:r>
        <w:rPr>
          <w:rFonts w:ascii="Palatino Linotype" w:eastAsia="Palatino Linotype" w:hAnsi="Palatino Linotype" w:cs="Palatino Linotype"/>
        </w:rPr>
        <w:t>изхвърлянето и натрупването на земни маси и/или строителни отпадъци извън местата, определени за това.</w:t>
      </w:r>
    </w:p>
    <w:p w:rsidR="00C301A2" w:rsidRDefault="00D43C36">
      <w:pPr>
        <w:numPr>
          <w:ilvl w:val="0"/>
          <w:numId w:val="11"/>
        </w:numPr>
        <w:spacing w:after="0"/>
        <w:jc w:val="both"/>
        <w:rPr>
          <w:rFonts w:ascii="Palatino Linotype" w:eastAsia="Palatino Linotype" w:hAnsi="Palatino Linotype" w:cs="Palatino Linotype"/>
        </w:rPr>
      </w:pPr>
      <w:r>
        <w:rPr>
          <w:rFonts w:ascii="Palatino Linotype" w:eastAsia="Palatino Linotype" w:hAnsi="Palatino Linotype" w:cs="Palatino Linotype"/>
        </w:rPr>
        <w:t>натрупването и/или разпиляването на строителни материали и отпадъци извън границите на обектите и строителните площадки</w:t>
      </w:r>
    </w:p>
    <w:p w:rsidR="00C301A2" w:rsidRPr="001024B0" w:rsidRDefault="00D43C36" w:rsidP="001024B0">
      <w:pPr>
        <w:numPr>
          <w:ilvl w:val="0"/>
          <w:numId w:val="11"/>
        </w:numPr>
        <w:spacing w:after="0"/>
        <w:jc w:val="both"/>
        <w:rPr>
          <w:rFonts w:ascii="Palatino Linotype" w:eastAsia="Palatino Linotype" w:hAnsi="Palatino Linotype" w:cs="Palatino Linotype"/>
        </w:rPr>
      </w:pPr>
      <w:r>
        <w:rPr>
          <w:rFonts w:ascii="Palatino Linotype" w:eastAsia="Palatino Linotype" w:hAnsi="Palatino Linotype" w:cs="Palatino Linotype"/>
        </w:rPr>
        <w:t>смесването на битови отпадъци с разделно събрани: биоотпадъци; масово разпространени отпадъци; отпадъчни материали от хартия, картон, пластмаса, метал и стъкло и опасни отпадъци, при наличие на въведени системи за разделното им събиране</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По отношение на осъществения контрол през последните 3 години по отношение на спазването на Наредба за управление на отпадъците и поддържане и опазване на чистотата на територията на Столична община, са налични следните данни:</w:t>
      </w:r>
    </w:p>
    <w:p w:rsidR="001024B0" w:rsidRDefault="001024B0">
      <w:pPr>
        <w:ind w:firstLine="708"/>
        <w:jc w:val="both"/>
        <w:rPr>
          <w:rFonts w:ascii="Palatino Linotype" w:eastAsia="Palatino Linotype" w:hAnsi="Palatino Linotype" w:cs="Palatino Linotype"/>
        </w:rPr>
      </w:pPr>
    </w:p>
    <w:tbl>
      <w:tblPr>
        <w:tblStyle w:val="af2"/>
        <w:tblW w:w="9061"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2864"/>
        <w:gridCol w:w="1961"/>
        <w:gridCol w:w="2117"/>
        <w:gridCol w:w="2119"/>
      </w:tblGrid>
      <w:tr w:rsidR="00C301A2">
        <w:tc>
          <w:tcPr>
            <w:tcW w:w="2864"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C301A2">
            <w:pPr>
              <w:spacing w:after="0"/>
              <w:jc w:val="center"/>
              <w:rPr>
                <w:rFonts w:ascii="Palatino Linotype" w:eastAsia="Palatino Linotype" w:hAnsi="Palatino Linotype" w:cs="Palatino Linotype"/>
                <w:b/>
                <w:i/>
              </w:rPr>
            </w:pPr>
          </w:p>
        </w:tc>
        <w:tc>
          <w:tcPr>
            <w:tcW w:w="1961" w:type="dxa"/>
            <w:tcBorders>
              <w:top w:val="single" w:sz="4" w:space="0" w:color="000001"/>
              <w:left w:val="single" w:sz="4" w:space="0" w:color="000001"/>
              <w:bottom w:val="single" w:sz="4" w:space="0" w:color="000001"/>
              <w:right w:val="single" w:sz="4" w:space="0" w:color="000001"/>
            </w:tcBorders>
            <w:shd w:val="clear" w:color="auto" w:fill="9CC3E5"/>
            <w:tcMar>
              <w:left w:w="10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2018</w:t>
            </w:r>
          </w:p>
        </w:tc>
        <w:tc>
          <w:tcPr>
            <w:tcW w:w="2117"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2019</w:t>
            </w:r>
          </w:p>
        </w:tc>
        <w:tc>
          <w:tcPr>
            <w:tcW w:w="2119" w:type="dxa"/>
            <w:tcBorders>
              <w:top w:val="single" w:sz="4" w:space="0" w:color="000001"/>
              <w:left w:val="single" w:sz="4" w:space="0" w:color="000001"/>
              <w:bottom w:val="single" w:sz="4" w:space="0" w:color="000001"/>
              <w:right w:val="single" w:sz="4" w:space="0" w:color="000001"/>
            </w:tcBorders>
            <w:shd w:val="clear" w:color="auto" w:fill="9CC3E5"/>
            <w:tcMar>
              <w:left w:w="98" w:type="dxa"/>
            </w:tcMar>
          </w:tcPr>
          <w:p w:rsidR="00C301A2" w:rsidRDefault="00D43C36">
            <w:pPr>
              <w:spacing w:after="0"/>
              <w:jc w:val="center"/>
              <w:rPr>
                <w:rFonts w:ascii="Palatino Linotype" w:eastAsia="Palatino Linotype" w:hAnsi="Palatino Linotype" w:cs="Palatino Linotype"/>
                <w:b/>
                <w:i/>
              </w:rPr>
            </w:pPr>
            <w:r>
              <w:rPr>
                <w:rFonts w:ascii="Palatino Linotype" w:eastAsia="Palatino Linotype" w:hAnsi="Palatino Linotype" w:cs="Palatino Linotype"/>
                <w:b/>
                <w:i/>
              </w:rPr>
              <w:t>2020</w:t>
            </w:r>
          </w:p>
        </w:tc>
      </w:tr>
      <w:tr w:rsidR="00C301A2">
        <w:tc>
          <w:tcPr>
            <w:tcW w:w="286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rPr>
            </w:pPr>
            <w:r>
              <w:rPr>
                <w:rFonts w:ascii="Palatino Linotype" w:eastAsia="Palatino Linotype" w:hAnsi="Palatino Linotype" w:cs="Palatino Linotype"/>
              </w:rPr>
              <w:t xml:space="preserve">Брой и статут на контрольорите </w:t>
            </w:r>
          </w:p>
        </w:tc>
        <w:tc>
          <w:tcPr>
            <w:tcW w:w="196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301</w:t>
            </w:r>
          </w:p>
        </w:tc>
        <w:tc>
          <w:tcPr>
            <w:tcW w:w="211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294</w:t>
            </w:r>
          </w:p>
        </w:tc>
        <w:tc>
          <w:tcPr>
            <w:tcW w:w="2119"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306</w:t>
            </w:r>
          </w:p>
        </w:tc>
      </w:tr>
      <w:tr w:rsidR="00C301A2">
        <w:tc>
          <w:tcPr>
            <w:tcW w:w="9061"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rPr>
                <w:rFonts w:ascii="Palatino Linotype" w:eastAsia="Palatino Linotype" w:hAnsi="Palatino Linotype" w:cs="Palatino Linotype"/>
              </w:rPr>
            </w:pPr>
            <w:r>
              <w:rPr>
                <w:rFonts w:ascii="Palatino Linotype" w:eastAsia="Palatino Linotype" w:hAnsi="Palatino Linotype" w:cs="Palatino Linotype"/>
              </w:rPr>
              <w:t>Брой на наложените глоби и санкции на физически и юридически лица</w:t>
            </w:r>
          </w:p>
        </w:tc>
      </w:tr>
      <w:tr w:rsidR="00C301A2">
        <w:tc>
          <w:tcPr>
            <w:tcW w:w="286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rPr>
            </w:pPr>
            <w:r>
              <w:rPr>
                <w:rFonts w:ascii="Palatino Linotype" w:eastAsia="Palatino Linotype" w:hAnsi="Palatino Linotype" w:cs="Palatino Linotype"/>
              </w:rPr>
              <w:t>Глоби с квитанция</w:t>
            </w:r>
          </w:p>
        </w:tc>
        <w:tc>
          <w:tcPr>
            <w:tcW w:w="196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2236</w:t>
            </w:r>
          </w:p>
        </w:tc>
        <w:tc>
          <w:tcPr>
            <w:tcW w:w="211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3750</w:t>
            </w:r>
          </w:p>
        </w:tc>
        <w:tc>
          <w:tcPr>
            <w:tcW w:w="2119"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1266</w:t>
            </w:r>
          </w:p>
        </w:tc>
      </w:tr>
      <w:tr w:rsidR="00C301A2">
        <w:tc>
          <w:tcPr>
            <w:tcW w:w="286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rPr>
            </w:pPr>
            <w:r>
              <w:rPr>
                <w:rFonts w:ascii="Palatino Linotype" w:eastAsia="Palatino Linotype" w:hAnsi="Palatino Linotype" w:cs="Palatino Linotype"/>
              </w:rPr>
              <w:t>Глоби с фиш</w:t>
            </w:r>
          </w:p>
        </w:tc>
        <w:tc>
          <w:tcPr>
            <w:tcW w:w="196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772</w:t>
            </w:r>
          </w:p>
        </w:tc>
        <w:tc>
          <w:tcPr>
            <w:tcW w:w="211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920</w:t>
            </w:r>
          </w:p>
        </w:tc>
        <w:tc>
          <w:tcPr>
            <w:tcW w:w="2119"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840</w:t>
            </w:r>
          </w:p>
        </w:tc>
      </w:tr>
      <w:tr w:rsidR="00C301A2">
        <w:tc>
          <w:tcPr>
            <w:tcW w:w="286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both"/>
              <w:rPr>
                <w:rFonts w:ascii="Palatino Linotype" w:eastAsia="Palatino Linotype" w:hAnsi="Palatino Linotype" w:cs="Palatino Linotype"/>
              </w:rPr>
            </w:pPr>
            <w:r>
              <w:rPr>
                <w:rFonts w:ascii="Palatino Linotype" w:eastAsia="Palatino Linotype" w:hAnsi="Palatino Linotype" w:cs="Palatino Linotype"/>
              </w:rPr>
              <w:t>Глоби и имуществени санкции (с наказателно постановление)</w:t>
            </w:r>
          </w:p>
        </w:tc>
        <w:tc>
          <w:tcPr>
            <w:tcW w:w="196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443</w:t>
            </w:r>
          </w:p>
        </w:tc>
        <w:tc>
          <w:tcPr>
            <w:tcW w:w="2117"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474</w:t>
            </w:r>
          </w:p>
        </w:tc>
        <w:tc>
          <w:tcPr>
            <w:tcW w:w="2119"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301A2" w:rsidRDefault="00D43C36">
            <w:pPr>
              <w:spacing w:after="0"/>
              <w:jc w:val="right"/>
              <w:rPr>
                <w:rFonts w:ascii="Palatino Linotype" w:eastAsia="Palatino Linotype" w:hAnsi="Palatino Linotype" w:cs="Palatino Linotype"/>
              </w:rPr>
            </w:pPr>
            <w:r>
              <w:rPr>
                <w:rFonts w:ascii="Palatino Linotype" w:eastAsia="Palatino Linotype" w:hAnsi="Palatino Linotype" w:cs="Palatino Linotype"/>
              </w:rPr>
              <w:t>670</w:t>
            </w:r>
          </w:p>
        </w:tc>
      </w:tr>
    </w:tbl>
    <w:p w:rsidR="00C301A2" w:rsidRDefault="00C301A2">
      <w:pPr>
        <w:ind w:firstLine="708"/>
        <w:jc w:val="both"/>
        <w:rPr>
          <w:rFonts w:ascii="Palatino Linotype" w:eastAsia="Palatino Linotype" w:hAnsi="Palatino Linotype" w:cs="Palatino Linotype"/>
        </w:rPr>
      </w:pPr>
    </w:p>
    <w:tbl>
      <w:tblPr>
        <w:tblStyle w:val="af3"/>
        <w:tblW w:w="8895" w:type="dxa"/>
        <w:tblBorders>
          <w:top w:val="nil"/>
          <w:left w:val="nil"/>
          <w:bottom w:val="nil"/>
          <w:right w:val="nil"/>
          <w:insideH w:val="nil"/>
          <w:insideV w:val="nil"/>
        </w:tblBorders>
        <w:tblLayout w:type="fixed"/>
        <w:tblLook w:val="0600" w:firstRow="0" w:lastRow="0" w:firstColumn="0" w:lastColumn="0" w:noHBand="1" w:noVBand="1"/>
      </w:tblPr>
      <w:tblGrid>
        <w:gridCol w:w="2925"/>
        <w:gridCol w:w="1980"/>
        <w:gridCol w:w="1995"/>
        <w:gridCol w:w="1995"/>
      </w:tblGrid>
      <w:tr w:rsidR="00C301A2">
        <w:trPr>
          <w:trHeight w:val="620"/>
        </w:trPr>
        <w:tc>
          <w:tcPr>
            <w:tcW w:w="2925" w:type="dxa"/>
            <w:tcBorders>
              <w:top w:val="single" w:sz="8" w:space="0" w:color="000001"/>
              <w:left w:val="single" w:sz="8" w:space="0" w:color="000001"/>
              <w:bottom w:val="single" w:sz="8" w:space="0" w:color="000001"/>
              <w:right w:val="single" w:sz="8" w:space="0" w:color="000001"/>
            </w:tcBorders>
            <w:shd w:val="clear" w:color="auto" w:fill="9CC3E5"/>
            <w:tcMar>
              <w:top w:w="100" w:type="dxa"/>
              <w:left w:w="100" w:type="dxa"/>
              <w:bottom w:w="100" w:type="dxa"/>
              <w:right w:w="100" w:type="dxa"/>
            </w:tcMar>
          </w:tcPr>
          <w:p w:rsidR="00C301A2" w:rsidRDefault="00D43C36" w:rsidP="001024B0">
            <w:pPr>
              <w:spacing w:after="0" w:line="276" w:lineRule="auto"/>
              <w:ind w:left="-20"/>
              <w:jc w:val="center"/>
              <w:rPr>
                <w:rFonts w:ascii="Palatino Linotype" w:eastAsia="Palatino Linotype" w:hAnsi="Palatino Linotype" w:cs="Palatino Linotype"/>
                <w:b/>
                <w:i/>
              </w:rPr>
            </w:pPr>
            <w:r>
              <w:rPr>
                <w:rFonts w:ascii="Palatino Linotype" w:eastAsia="Palatino Linotype" w:hAnsi="Palatino Linotype" w:cs="Palatino Linotype"/>
                <w:b/>
                <w:i/>
              </w:rPr>
              <w:t xml:space="preserve"> </w:t>
            </w:r>
          </w:p>
        </w:tc>
        <w:tc>
          <w:tcPr>
            <w:tcW w:w="1980" w:type="dxa"/>
            <w:tcBorders>
              <w:top w:val="single" w:sz="8" w:space="0" w:color="000001"/>
              <w:left w:val="nil"/>
              <w:bottom w:val="single" w:sz="8" w:space="0" w:color="000001"/>
              <w:right w:val="single" w:sz="8" w:space="0" w:color="000001"/>
            </w:tcBorders>
            <w:shd w:val="clear" w:color="auto" w:fill="9CC3E5"/>
            <w:tcMar>
              <w:top w:w="100" w:type="dxa"/>
              <w:left w:w="100" w:type="dxa"/>
              <w:bottom w:w="100" w:type="dxa"/>
              <w:right w:w="100" w:type="dxa"/>
            </w:tcMar>
          </w:tcPr>
          <w:p w:rsidR="00C301A2" w:rsidRDefault="00D43C36" w:rsidP="001024B0">
            <w:pPr>
              <w:spacing w:after="0" w:line="276" w:lineRule="auto"/>
              <w:ind w:left="-20"/>
              <w:jc w:val="center"/>
              <w:rPr>
                <w:rFonts w:ascii="Palatino Linotype" w:eastAsia="Palatino Linotype" w:hAnsi="Palatino Linotype" w:cs="Palatino Linotype"/>
                <w:b/>
                <w:i/>
              </w:rPr>
            </w:pPr>
            <w:r>
              <w:rPr>
                <w:rFonts w:ascii="Palatino Linotype" w:eastAsia="Palatino Linotype" w:hAnsi="Palatino Linotype" w:cs="Palatino Linotype"/>
                <w:b/>
                <w:i/>
              </w:rPr>
              <w:t>2018</w:t>
            </w:r>
          </w:p>
        </w:tc>
        <w:tc>
          <w:tcPr>
            <w:tcW w:w="1995" w:type="dxa"/>
            <w:tcBorders>
              <w:top w:val="single" w:sz="8" w:space="0" w:color="000001"/>
              <w:left w:val="nil"/>
              <w:bottom w:val="single" w:sz="8" w:space="0" w:color="000001"/>
              <w:right w:val="single" w:sz="8" w:space="0" w:color="000001"/>
            </w:tcBorders>
            <w:shd w:val="clear" w:color="auto" w:fill="9CC3E5"/>
            <w:tcMar>
              <w:top w:w="100" w:type="dxa"/>
              <w:left w:w="100" w:type="dxa"/>
              <w:bottom w:w="100" w:type="dxa"/>
              <w:right w:w="100" w:type="dxa"/>
            </w:tcMar>
          </w:tcPr>
          <w:p w:rsidR="00C301A2" w:rsidRDefault="00D43C36" w:rsidP="001024B0">
            <w:pPr>
              <w:spacing w:after="0" w:line="276" w:lineRule="auto"/>
              <w:ind w:left="-20"/>
              <w:jc w:val="center"/>
              <w:rPr>
                <w:rFonts w:ascii="Palatino Linotype" w:eastAsia="Palatino Linotype" w:hAnsi="Palatino Linotype" w:cs="Palatino Linotype"/>
                <w:b/>
                <w:i/>
              </w:rPr>
            </w:pPr>
            <w:r>
              <w:rPr>
                <w:rFonts w:ascii="Palatino Linotype" w:eastAsia="Palatino Linotype" w:hAnsi="Palatino Linotype" w:cs="Palatino Linotype"/>
                <w:b/>
                <w:i/>
              </w:rPr>
              <w:t>2019</w:t>
            </w:r>
          </w:p>
        </w:tc>
        <w:tc>
          <w:tcPr>
            <w:tcW w:w="1995" w:type="dxa"/>
            <w:tcBorders>
              <w:top w:val="single" w:sz="8" w:space="0" w:color="000001"/>
              <w:left w:val="nil"/>
              <w:bottom w:val="single" w:sz="8" w:space="0" w:color="000001"/>
              <w:right w:val="single" w:sz="8" w:space="0" w:color="000001"/>
            </w:tcBorders>
            <w:shd w:val="clear" w:color="auto" w:fill="9CC3E5"/>
            <w:tcMar>
              <w:top w:w="100" w:type="dxa"/>
              <w:left w:w="100" w:type="dxa"/>
              <w:bottom w:w="100" w:type="dxa"/>
              <w:right w:w="100" w:type="dxa"/>
            </w:tcMar>
          </w:tcPr>
          <w:p w:rsidR="00C301A2" w:rsidRDefault="00D43C36" w:rsidP="001024B0">
            <w:pPr>
              <w:spacing w:after="0" w:line="276" w:lineRule="auto"/>
              <w:ind w:left="-20"/>
              <w:jc w:val="center"/>
              <w:rPr>
                <w:rFonts w:ascii="Palatino Linotype" w:eastAsia="Palatino Linotype" w:hAnsi="Palatino Linotype" w:cs="Palatino Linotype"/>
                <w:b/>
                <w:i/>
              </w:rPr>
            </w:pPr>
            <w:r>
              <w:rPr>
                <w:rFonts w:ascii="Palatino Linotype" w:eastAsia="Palatino Linotype" w:hAnsi="Palatino Linotype" w:cs="Palatino Linotype"/>
                <w:b/>
                <w:i/>
              </w:rPr>
              <w:t>2020</w:t>
            </w:r>
          </w:p>
        </w:tc>
      </w:tr>
      <w:tr w:rsidR="00C301A2" w:rsidTr="001024B0">
        <w:trPr>
          <w:trHeight w:val="451"/>
        </w:trPr>
        <w:tc>
          <w:tcPr>
            <w:tcW w:w="2925" w:type="dxa"/>
            <w:tcBorders>
              <w:top w:val="nil"/>
              <w:left w:val="single" w:sz="8" w:space="0" w:color="000001"/>
              <w:bottom w:val="single" w:sz="8" w:space="0" w:color="000001"/>
              <w:right w:val="single" w:sz="8" w:space="0" w:color="000001"/>
            </w:tcBorders>
            <w:tcMar>
              <w:top w:w="100" w:type="dxa"/>
              <w:left w:w="100" w:type="dxa"/>
              <w:bottom w:w="100" w:type="dxa"/>
              <w:right w:w="100" w:type="dxa"/>
            </w:tcMar>
          </w:tcPr>
          <w:p w:rsidR="00C301A2" w:rsidRDefault="00D43C36" w:rsidP="001024B0">
            <w:pPr>
              <w:spacing w:after="0" w:line="276" w:lineRule="auto"/>
              <w:ind w:left="-20"/>
              <w:jc w:val="both"/>
              <w:rPr>
                <w:rFonts w:ascii="Palatino Linotype" w:eastAsia="Palatino Linotype" w:hAnsi="Palatino Linotype" w:cs="Palatino Linotype"/>
              </w:rPr>
            </w:pPr>
            <w:r>
              <w:rPr>
                <w:rFonts w:ascii="Palatino Linotype" w:eastAsia="Palatino Linotype" w:hAnsi="Palatino Linotype" w:cs="Palatino Linotype"/>
              </w:rPr>
              <w:t>Брой и статут на контрольорите</w:t>
            </w:r>
          </w:p>
        </w:tc>
        <w:tc>
          <w:tcPr>
            <w:tcW w:w="1980" w:type="dxa"/>
            <w:tcBorders>
              <w:top w:val="nil"/>
              <w:left w:val="nil"/>
              <w:bottom w:val="single" w:sz="8" w:space="0" w:color="000001"/>
              <w:right w:val="single" w:sz="8" w:space="0" w:color="000001"/>
            </w:tcBorders>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301</w:t>
            </w:r>
          </w:p>
        </w:tc>
        <w:tc>
          <w:tcPr>
            <w:tcW w:w="1995" w:type="dxa"/>
            <w:tcBorders>
              <w:top w:val="nil"/>
              <w:left w:val="nil"/>
              <w:bottom w:val="single" w:sz="8" w:space="0" w:color="000001"/>
              <w:right w:val="single" w:sz="8" w:space="0" w:color="000001"/>
            </w:tcBorders>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294</w:t>
            </w:r>
          </w:p>
        </w:tc>
        <w:tc>
          <w:tcPr>
            <w:tcW w:w="1995" w:type="dxa"/>
            <w:tcBorders>
              <w:top w:val="nil"/>
              <w:left w:val="nil"/>
              <w:bottom w:val="single" w:sz="8" w:space="0" w:color="000001"/>
              <w:right w:val="single" w:sz="8" w:space="0" w:color="000001"/>
            </w:tcBorders>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306</w:t>
            </w:r>
          </w:p>
        </w:tc>
      </w:tr>
      <w:tr w:rsidR="00C301A2" w:rsidTr="001024B0">
        <w:trPr>
          <w:trHeight w:val="279"/>
        </w:trPr>
        <w:tc>
          <w:tcPr>
            <w:tcW w:w="8895" w:type="dxa"/>
            <w:gridSpan w:val="4"/>
            <w:tcBorders>
              <w:top w:val="nil"/>
              <w:left w:val="single" w:sz="8" w:space="0" w:color="000001"/>
              <w:bottom w:val="single" w:sz="8" w:space="0" w:color="000001"/>
              <w:right w:val="single" w:sz="8" w:space="0" w:color="000001"/>
            </w:tcBorders>
            <w:tcMar>
              <w:top w:w="100" w:type="dxa"/>
              <w:left w:w="100" w:type="dxa"/>
              <w:bottom w:w="100" w:type="dxa"/>
              <w:right w:w="100" w:type="dxa"/>
            </w:tcMar>
          </w:tcPr>
          <w:p w:rsidR="00C301A2" w:rsidRDefault="00D43C36" w:rsidP="001024B0">
            <w:pPr>
              <w:spacing w:after="0" w:line="276" w:lineRule="auto"/>
              <w:ind w:left="-20"/>
              <w:jc w:val="both"/>
              <w:rPr>
                <w:rFonts w:ascii="Palatino Linotype" w:eastAsia="Palatino Linotype" w:hAnsi="Palatino Linotype" w:cs="Palatino Linotype"/>
              </w:rPr>
            </w:pPr>
            <w:r>
              <w:rPr>
                <w:rFonts w:ascii="Palatino Linotype" w:eastAsia="Palatino Linotype" w:hAnsi="Palatino Linotype" w:cs="Palatino Linotype"/>
              </w:rPr>
              <w:t>Брой на наложените глоби и санкции на физически и юридически лица</w:t>
            </w:r>
          </w:p>
        </w:tc>
      </w:tr>
      <w:tr w:rsidR="00C301A2" w:rsidTr="001024B0">
        <w:trPr>
          <w:trHeight w:val="301"/>
        </w:trPr>
        <w:tc>
          <w:tcPr>
            <w:tcW w:w="2925" w:type="dxa"/>
            <w:tcBorders>
              <w:top w:val="nil"/>
              <w:left w:val="single" w:sz="8" w:space="0" w:color="000001"/>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both"/>
              <w:rPr>
                <w:rFonts w:ascii="Palatino Linotype" w:eastAsia="Palatino Linotype" w:hAnsi="Palatino Linotype" w:cs="Palatino Linotype"/>
              </w:rPr>
            </w:pPr>
            <w:r>
              <w:rPr>
                <w:rFonts w:ascii="Palatino Linotype" w:eastAsia="Palatino Linotype" w:hAnsi="Palatino Linotype" w:cs="Palatino Linotype"/>
              </w:rPr>
              <w:t>Глоби с квитанция</w:t>
            </w:r>
          </w:p>
        </w:tc>
        <w:tc>
          <w:tcPr>
            <w:tcW w:w="1980"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 xml:space="preserve">5405  </w:t>
            </w:r>
            <w:r>
              <w:rPr>
                <w:rFonts w:ascii="Palatino Linotype" w:eastAsia="Palatino Linotype" w:hAnsi="Palatino Linotype" w:cs="Palatino Linotype"/>
              </w:rPr>
              <w:tab/>
            </w:r>
          </w:p>
        </w:tc>
        <w:tc>
          <w:tcPr>
            <w:tcW w:w="1995"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3750</w:t>
            </w:r>
          </w:p>
        </w:tc>
        <w:tc>
          <w:tcPr>
            <w:tcW w:w="1995"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1266</w:t>
            </w:r>
          </w:p>
        </w:tc>
      </w:tr>
      <w:tr w:rsidR="00C301A2" w:rsidTr="001024B0">
        <w:trPr>
          <w:trHeight w:val="180"/>
        </w:trPr>
        <w:tc>
          <w:tcPr>
            <w:tcW w:w="2925" w:type="dxa"/>
            <w:tcBorders>
              <w:top w:val="nil"/>
              <w:left w:val="single" w:sz="8" w:space="0" w:color="000001"/>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both"/>
              <w:rPr>
                <w:rFonts w:ascii="Palatino Linotype" w:eastAsia="Palatino Linotype" w:hAnsi="Palatino Linotype" w:cs="Palatino Linotype"/>
              </w:rPr>
            </w:pPr>
            <w:r>
              <w:rPr>
                <w:rFonts w:ascii="Palatino Linotype" w:eastAsia="Palatino Linotype" w:hAnsi="Palatino Linotype" w:cs="Palatino Linotype"/>
              </w:rPr>
              <w:t>Глоби с фиш</w:t>
            </w:r>
          </w:p>
        </w:tc>
        <w:tc>
          <w:tcPr>
            <w:tcW w:w="1980"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730</w:t>
            </w:r>
          </w:p>
        </w:tc>
        <w:tc>
          <w:tcPr>
            <w:tcW w:w="1995"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920</w:t>
            </w:r>
          </w:p>
        </w:tc>
        <w:tc>
          <w:tcPr>
            <w:tcW w:w="1995"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840</w:t>
            </w:r>
          </w:p>
        </w:tc>
      </w:tr>
      <w:tr w:rsidR="00C301A2" w:rsidTr="001024B0">
        <w:trPr>
          <w:trHeight w:val="1067"/>
        </w:trPr>
        <w:tc>
          <w:tcPr>
            <w:tcW w:w="2925" w:type="dxa"/>
            <w:tcBorders>
              <w:top w:val="nil"/>
              <w:left w:val="single" w:sz="8" w:space="0" w:color="000001"/>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both"/>
              <w:rPr>
                <w:rFonts w:ascii="Palatino Linotype" w:eastAsia="Palatino Linotype" w:hAnsi="Palatino Linotype" w:cs="Palatino Linotype"/>
              </w:rPr>
            </w:pPr>
            <w:r>
              <w:rPr>
                <w:rFonts w:ascii="Palatino Linotype" w:eastAsia="Palatino Linotype" w:hAnsi="Palatino Linotype" w:cs="Palatino Linotype"/>
              </w:rPr>
              <w:t>Глоби и имуществени санкции (с наказателно постановление)</w:t>
            </w:r>
          </w:p>
        </w:tc>
        <w:tc>
          <w:tcPr>
            <w:tcW w:w="1980"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661</w:t>
            </w:r>
          </w:p>
        </w:tc>
        <w:tc>
          <w:tcPr>
            <w:tcW w:w="1995"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1037</w:t>
            </w:r>
          </w:p>
        </w:tc>
        <w:tc>
          <w:tcPr>
            <w:tcW w:w="1995" w:type="dxa"/>
            <w:tcBorders>
              <w:top w:val="nil"/>
              <w:left w:val="nil"/>
              <w:bottom w:val="single" w:sz="8" w:space="0" w:color="000001"/>
              <w:right w:val="single" w:sz="8" w:space="0" w:color="000001"/>
            </w:tcBorders>
            <w:shd w:val="clear" w:color="auto" w:fill="auto"/>
            <w:tcMar>
              <w:top w:w="100" w:type="dxa"/>
              <w:left w:w="100" w:type="dxa"/>
              <w:bottom w:w="100" w:type="dxa"/>
              <w:right w:w="100" w:type="dxa"/>
            </w:tcMar>
          </w:tcPr>
          <w:p w:rsidR="00C301A2" w:rsidRDefault="00D43C36" w:rsidP="001024B0">
            <w:pPr>
              <w:spacing w:after="0" w:line="276" w:lineRule="auto"/>
              <w:ind w:left="-20"/>
              <w:jc w:val="right"/>
              <w:rPr>
                <w:rFonts w:ascii="Palatino Linotype" w:eastAsia="Palatino Linotype" w:hAnsi="Palatino Linotype" w:cs="Palatino Linotype"/>
              </w:rPr>
            </w:pPr>
            <w:r>
              <w:rPr>
                <w:rFonts w:ascii="Palatino Linotype" w:eastAsia="Palatino Linotype" w:hAnsi="Palatino Linotype" w:cs="Palatino Linotype"/>
              </w:rPr>
              <w:t>1143</w:t>
            </w:r>
          </w:p>
        </w:tc>
      </w:tr>
    </w:tbl>
    <w:p w:rsidR="00C301A2" w:rsidRDefault="00C301A2">
      <w:pPr>
        <w:ind w:firstLine="708"/>
        <w:jc w:val="both"/>
        <w:rPr>
          <w:rFonts w:ascii="Palatino Linotype" w:eastAsia="Palatino Linotype" w:hAnsi="Palatino Linotype" w:cs="Palatino Linotype"/>
        </w:rPr>
      </w:pPr>
    </w:p>
    <w:p w:rsidR="00C301A2" w:rsidRDefault="00D43C36" w:rsidP="001024B0">
      <w:pPr>
        <w:ind w:firstLine="708"/>
        <w:jc w:val="both"/>
        <w:rPr>
          <w:rFonts w:ascii="Palatino Linotype" w:eastAsia="Palatino Linotype" w:hAnsi="Palatino Linotype" w:cs="Palatino Linotype"/>
        </w:rPr>
      </w:pPr>
      <w:r>
        <w:rPr>
          <w:rFonts w:ascii="Palatino Linotype" w:eastAsia="Palatino Linotype" w:hAnsi="Palatino Linotype" w:cs="Palatino Linotype"/>
        </w:rPr>
        <w:t>За пълнота на предоставената информация за броя наложени глоби и имуществени санкции следва да се уточни, че в чл. 28 от ЗАНН (действащ в периода 2016—2020 г.) е предвидено, че за ”маловажни случаи” на административни нарушения наказващият орган може да не наложи наказание, като предупреди нарушителя, устно или писмено, че при повторно извършване на нарушение ще му бъде наложено, административно наказание. В ЗАНН не е налице легална дефиниция на понятието „маловажен случай”, поради което следва да се прилага понятието дадено в чл. 93, т. 9 от НК, към който препраща чл. I I от ЗАНН. При това положение, маловажен случай на административно нарушение е този, при който извършеното административно нарушение с оглед на липсата или незначителността на вредните последици или с оглед на други смекчаващи обстоятелства, представлява по-ниска степен на обществена опасност в сравнение с обикновените случаи на нарушения от съответния вид. При това преценката за ”маловажност на случая” подлежи на съдебен контрол. В неговия обхват се включва и проверката за законосъобразност на преценката по чл. 28 ЗАНН. Видно от изложеното, дати едно нарушение е маловажно не е плод на свободна преценка на контролните органи, а конкретен анализ на фактите и съответната приложима нормативна уредба.</w:t>
      </w:r>
    </w:p>
    <w:p w:rsidR="00C301A2" w:rsidRPr="001024B0" w:rsidRDefault="00D43C36" w:rsidP="001024B0">
      <w:pPr>
        <w:numPr>
          <w:ilvl w:val="3"/>
          <w:numId w:val="30"/>
        </w:numPr>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Информационни и образователни функции, свързани с управлението на отпадъците</w:t>
      </w:r>
    </w:p>
    <w:p w:rsidR="00C301A2" w:rsidRDefault="00D43C36" w:rsidP="001024B0">
      <w:pPr>
        <w:jc w:val="both"/>
      </w:pPr>
      <w:r>
        <w:rPr>
          <w:rFonts w:ascii="Palatino Linotype" w:eastAsia="Palatino Linotype" w:hAnsi="Palatino Linotype" w:cs="Palatino Linotype"/>
        </w:rPr>
        <w:t xml:space="preserve">Със заповед с рег. № СО15-РД-09-541/30.04.2015 г. на Кмета на Столична община, от 01.05.2015 г. е въведена в редовна експлоатация Информационната система за управление на отпадъците на Столична община /ИСУО/. В нея се събира и обработва информация за управление на отпадъците. Информационната система позволява цялостно стандартизиране и автоматизиране на дейности, обекти и регистри, свързани с управлението на отпадъците. През 2020 г. е разработен допълнителен публичен модул – „Предотвратяване образуването на отпадъците и повторната им употреба“ с нови версии достъпни на адрес: Публични: </w:t>
      </w:r>
      <w:hyperlink r:id="rId17">
        <w:r>
          <w:rPr>
            <w:rFonts w:ascii="Palatino Linotype" w:eastAsia="Palatino Linotype" w:hAnsi="Palatino Linotype" w:cs="Palatino Linotype"/>
            <w:color w:val="0563C1"/>
            <w:u w:val="single"/>
          </w:rPr>
          <w:t>https://isuo.sofia.bg/reuse/object/public/list/</w:t>
        </w:r>
      </w:hyperlink>
      <w:r>
        <w:rPr>
          <w:rFonts w:ascii="Palatino Linotype" w:eastAsia="Palatino Linotype" w:hAnsi="Palatino Linotype" w:cs="Palatino Linotype"/>
        </w:rPr>
        <w:t xml:space="preserve">  и Вътрешни след логин: </w:t>
      </w:r>
      <w:hyperlink r:id="rId18">
        <w:r>
          <w:rPr>
            <w:rFonts w:ascii="Palatino Linotype" w:eastAsia="Palatino Linotype" w:hAnsi="Palatino Linotype" w:cs="Palatino Linotype"/>
            <w:color w:val="0563C1"/>
            <w:u w:val="single"/>
          </w:rPr>
          <w:t>https://isuo.sofia.bg/reuse/center/list/</w:t>
        </w:r>
      </w:hyperlink>
      <w:r>
        <w:rPr>
          <w:rFonts w:ascii="Palatino Linotype" w:eastAsia="Palatino Linotype" w:hAnsi="Palatino Linotype" w:cs="Palatino Linotype"/>
        </w:rPr>
        <w:t xml:space="preserve">  като същите предстои да бъдат популяризирани. Проведени са обучения за работа с ИСУО на 242 броя потребители на Столична община.</w:t>
      </w:r>
    </w:p>
    <w:p w:rsidR="00C301A2" w:rsidRDefault="001024B0">
      <w:pPr>
        <w:tabs>
          <w:tab w:val="center" w:pos="567"/>
        </w:tabs>
        <w:jc w:val="both"/>
        <w:rPr>
          <w:rFonts w:ascii="Palatino Linotype" w:eastAsia="Palatino Linotype" w:hAnsi="Palatino Linotype" w:cs="Palatino Linotype"/>
        </w:rPr>
      </w:pPr>
      <w:r>
        <w:rPr>
          <w:rFonts w:ascii="Palatino Linotype" w:eastAsia="Palatino Linotype" w:hAnsi="Palatino Linotype" w:cs="Palatino Linotype"/>
        </w:rPr>
        <w:tab/>
      </w:r>
      <w:r w:rsidR="00D43C36">
        <w:rPr>
          <w:rFonts w:ascii="Palatino Linotype" w:eastAsia="Palatino Linotype" w:hAnsi="Palatino Linotype" w:cs="Palatino Linotype"/>
        </w:rPr>
        <w:t>От 2 април 2017 г. Столична община пусна в експлоатация официален електронен портал на София. Към тематична група „Околна среда“ са създадени две теми „Отпадъци“ и „Разделно събиране на отпадъци“.</w:t>
      </w:r>
    </w:p>
    <w:p w:rsidR="00C301A2" w:rsidRDefault="00D43C36">
      <w:pPr>
        <w:tabs>
          <w:tab w:val="left" w:pos="851"/>
          <w:tab w:val="center" w:pos="4536"/>
        </w:tabs>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осигурява достъп на всички заинтересовани физически и юридически лица до официална информация, чрез публикуване на интернет страницата на общината и Столичен инспекторат информация за:</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местата, на които са разположени контейнерите за разделно събиране на отпадъци от хартия, метали, пластмаса и стъкло;</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местата, на които са разположени контейнерите за събиране на битови отпадъци - оперативните планове по райони (летни и зимни)</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местата, на които са разположени контейнерите за текстилни отпадъци;</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регистър на договорите, сключени във връзка с дейности по управление на отпадъците - организациите по оползотворяване на масово разпространени отпадъци, фирмите изпълняващи дейности по събиране и транспортиране на битови отпадъци и улично почистване и др.;</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графици за събиране на специфични потоци отпадъци (ИУЕЕО, опасни отпадъци от бита);</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реда, начина и графици за изхвърляне на строителни и едрогабаритни отпадъци (ЕГО), образувани в резултат от строително ремонтни дейности на домакинствата;</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реда и начина за прилагане на системата за разделно събиране на опасни отпадъци, образувани от домакинствата;</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реда и начина за прилагане на общинската система за разделно събиране на биоотпадъци – Къде и как се събират зелени биоотпадъци?; </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издадени направления за определяне на маршрут за транспортиране на строителни отпадъци и/или земни маси;  </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инструкции за приемане на отпадъци в инсталациите на площадка „Садината” и в инсталациите на площадка „Хан Богров”;</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различните кампании провеждани от Столична община и Столичен инспекторат;</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програмата за управление на отпадъците; </w:t>
      </w:r>
    </w:p>
    <w:p w:rsidR="00C301A2" w:rsidRDefault="00D43C36">
      <w:pPr>
        <w:numPr>
          <w:ilvl w:val="0"/>
          <w:numId w:val="19"/>
        </w:numPr>
        <w:tabs>
          <w:tab w:val="left" w:pos="516"/>
          <w:tab w:val="center" w:pos="4536"/>
        </w:tabs>
        <w:spacing w:after="0" w:line="240"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съобщения за инвестиционни предложения.</w:t>
      </w:r>
    </w:p>
    <w:p w:rsidR="00C301A2" w:rsidRDefault="00C301A2">
      <w:pPr>
        <w:tabs>
          <w:tab w:val="left" w:pos="516"/>
          <w:tab w:val="center" w:pos="4536"/>
        </w:tabs>
        <w:jc w:val="both"/>
        <w:rPr>
          <w:rFonts w:ascii="Palatino Linotype" w:eastAsia="Palatino Linotype" w:hAnsi="Palatino Linotype" w:cs="Palatino Linotype"/>
        </w:rPr>
      </w:pPr>
    </w:p>
    <w:p w:rsidR="00C301A2" w:rsidRDefault="00D43C36">
      <w:pPr>
        <w:tabs>
          <w:tab w:val="left" w:pos="516"/>
          <w:tab w:val="center" w:pos="4536"/>
        </w:tabs>
        <w:jc w:val="both"/>
        <w:rPr>
          <w:rFonts w:ascii="Palatino Linotype" w:eastAsia="Palatino Linotype" w:hAnsi="Palatino Linotype" w:cs="Palatino Linotype"/>
        </w:rPr>
      </w:pPr>
      <w:r>
        <w:rPr>
          <w:rFonts w:ascii="Palatino Linotype" w:eastAsia="Palatino Linotype" w:hAnsi="Palatino Linotype" w:cs="Palatino Linotype"/>
        </w:rPr>
        <w:t xml:space="preserve">Проведени информационни кампании:  </w:t>
      </w:r>
    </w:p>
    <w:p w:rsidR="00C301A2" w:rsidRDefault="00D43C36">
      <w:pPr>
        <w:numPr>
          <w:ilvl w:val="0"/>
          <w:numId w:val="26"/>
        </w:numPr>
        <w:tabs>
          <w:tab w:val="left" w:pos="516"/>
          <w:tab w:val="center" w:pos="4536"/>
        </w:tabs>
        <w:spacing w:after="0" w:line="240"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В рамките на проект „Управление на миризмите при процесите, свързани с третиране на отпадъците“ (Distributed Network for Odour Sensing, Empowerment and Sustainability), в който Столична община е партньор, през 2020 г. се проведе работна среща представители на общинските пазари на СО, дирекция „Управление на отпадъците и контролни дейности“ - СО, Инсталацията за биологично третиране „Хан Богров“. На срещата се извърши анализ на въведената общинска системата за разделно събиране на биоотпадъци. С оглед на стартиране на разяснителни информационни кампании с наемателите на търговски площи на територията на пазарите, изпълнителните директори на пазарите бяха запознати с начина за третиране на биоотпадъците, както и получените от тях продукти – компост и биогаз, както и с изискванията към съхраняването и разделното събиране на този вид отпадък. </w:t>
      </w:r>
    </w:p>
    <w:p w:rsidR="00C301A2" w:rsidRDefault="00D43C36">
      <w:pPr>
        <w:numPr>
          <w:ilvl w:val="0"/>
          <w:numId w:val="26"/>
        </w:numPr>
        <w:tabs>
          <w:tab w:val="left" w:pos="516"/>
          <w:tab w:val="center" w:pos="4536"/>
        </w:tabs>
        <w:spacing w:after="0" w:line="240"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През 2020 г., в сезона за смяна на автомобилните гуми, се организира кампания за събиране им от гражданите на Столична община. Открити са 31 временни пунктове за предаването на излезли от употреба гуми (ИУГ), в 12 района на Столична община. Информация за кампанията се публикува на интернет страниците на общината и Столичен инспекторат, както и в редица електронни медии. Освен информация как гражданите могат да се освободят от излезли от употреба гуми, се предостави такава и относно задълженията на автосервизите за приемането на този вид отпадък, както и за санкциите при нерегламентираното изхвърляне и изгаряне.</w:t>
      </w:r>
    </w:p>
    <w:p w:rsidR="00C301A2" w:rsidRDefault="00D43C36">
      <w:pPr>
        <w:numPr>
          <w:ilvl w:val="0"/>
          <w:numId w:val="26"/>
        </w:numPr>
        <w:tabs>
          <w:tab w:val="left" w:pos="516"/>
          <w:tab w:val="center" w:pos="4536"/>
        </w:tabs>
        <w:spacing w:after="0" w:line="240"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Системата за събиране на опасни отпадъци от домакинствата е плод на съвместните усилия на Столична община и „БалБок Инженеринг“ АД и се прилага успешно на територията на общината от началото на 2012 година.  СО, чрез  каналите си за комуникация, активно подпомага дейностите при събиране на опасните отпадъци от домакинства. Целогодишно на страницата на общината, както и на фейсбук страницата на направление „Зелена система, екология и земеползване“ и СИ се публикува информация, придружена с подходящ снимков материал, за района и мястото на мобилния пункт, работното време и видовете отпадъци, които се приемат от пунктовете. </w:t>
      </w:r>
    </w:p>
    <w:p w:rsidR="00C301A2" w:rsidRDefault="00D43C36">
      <w:pPr>
        <w:numPr>
          <w:ilvl w:val="0"/>
          <w:numId w:val="26"/>
        </w:numPr>
        <w:tabs>
          <w:tab w:val="left" w:pos="516"/>
          <w:tab w:val="center" w:pos="4536"/>
        </w:tabs>
        <w:spacing w:after="0" w:line="240"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През 2020 г. Столична община и „Дарик радио“ АД продължиха провеждането на съвместна информационна кампания за популяризиране на прилагането на концепция за кръгова икономика при управлението на отпадъците на територията на Столична община. Направени са 1 080 излъчвания на радио-клипове с продължителност 30 сек., с цел повишаване информираността на обществото за правилно управление на ресурсите и отпадъците, като стимулира гражданското участие в процеса на разделното събиране на отпадъците. Поради усложнената епидемична обстановка дейностите от подписания договор през 2020 г. за предоставяне на програмно време за реализиране на информационна кампания за разделно събиране на отпадъци "Мисли чисто" в ефира на радио N-JOY, bTV Radio, Jazz FM, Classic FM не се осъществиха. Договорът се удължи и кампанията ще се проведе в периода януари - март 2021</w:t>
      </w:r>
    </w:p>
    <w:p w:rsidR="00C301A2" w:rsidRDefault="00D43C36">
      <w:pPr>
        <w:numPr>
          <w:ilvl w:val="0"/>
          <w:numId w:val="26"/>
        </w:numPr>
        <w:tabs>
          <w:tab w:val="left" w:pos="516"/>
          <w:tab w:val="center" w:pos="4536"/>
        </w:tabs>
        <w:spacing w:after="0" w:line="240"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През 2021 г. СО организира събитието „Екопавилион“, което се проведе в Южен парк,  Северен парк, Парк Дружба, Борисова градина. Целта на събитието е разговор с гражданите за опазване чистотата на въздуха, насърчаване на разделното събиране на отпадъците, вкл. хранителните такива, безплатна замяна на стари отоплителни уреди с нови. Експерти от дирекции „Управление на отпадъците и контролни дейности“, „Зелена система“, „Околна среда“ и „Климат, енергия, въздух“ на СО дават подробна информация и съдействат за попълване на документи за кандидатстване по актуалните  програми на Столична община.</w:t>
      </w:r>
    </w:p>
    <w:p w:rsidR="00C301A2" w:rsidRDefault="00D43C36" w:rsidP="001024B0">
      <w:pPr>
        <w:numPr>
          <w:ilvl w:val="0"/>
          <w:numId w:val="26"/>
        </w:numPr>
        <w:tabs>
          <w:tab w:val="left" w:pos="516"/>
          <w:tab w:val="center" w:pos="4536"/>
        </w:tabs>
        <w:spacing w:after="0" w:line="240"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Ежегодно се провеждат кампании за почистване на населените места в общината</w:t>
      </w:r>
    </w:p>
    <w:p w:rsidR="001024B0" w:rsidRPr="001024B0" w:rsidRDefault="001024B0" w:rsidP="001024B0">
      <w:pPr>
        <w:tabs>
          <w:tab w:val="left" w:pos="516"/>
          <w:tab w:val="center" w:pos="4536"/>
        </w:tabs>
        <w:spacing w:after="0" w:line="240" w:lineRule="auto"/>
        <w:ind w:left="720"/>
        <w:jc w:val="both"/>
        <w:rPr>
          <w:rFonts w:ascii="Palatino Linotype" w:eastAsia="Palatino Linotype" w:hAnsi="Palatino Linotype" w:cs="Palatino Linotype"/>
          <w:color w:val="000000"/>
        </w:rPr>
      </w:pPr>
    </w:p>
    <w:p w:rsidR="00C301A2" w:rsidRDefault="00D43C36">
      <w:pPr>
        <w:tabs>
          <w:tab w:val="left" w:pos="516"/>
          <w:tab w:val="center" w:pos="4536"/>
        </w:tabs>
        <w:jc w:val="both"/>
        <w:rPr>
          <w:rFonts w:ascii="Palatino Linotype" w:eastAsia="Palatino Linotype" w:hAnsi="Palatino Linotype" w:cs="Palatino Linotype"/>
        </w:rPr>
      </w:pPr>
      <w:r>
        <w:rPr>
          <w:rFonts w:ascii="Palatino Linotype" w:eastAsia="Palatino Linotype" w:hAnsi="Palatino Linotype" w:cs="Palatino Linotype"/>
        </w:rPr>
        <w:t>Текущи или изпълнени проекти:</w:t>
      </w:r>
    </w:p>
    <w:p w:rsidR="00C301A2" w:rsidRDefault="00D43C36">
      <w:pPr>
        <w:numPr>
          <w:ilvl w:val="0"/>
          <w:numId w:val="29"/>
        </w:numPr>
        <w:tabs>
          <w:tab w:val="left" w:pos="516"/>
          <w:tab w:val="center" w:pos="4536"/>
        </w:tabs>
        <w:spacing w:after="0" w:line="240"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За прилагане на концепцията за кръгова икономика от м. януари 2017 г. Столична община изпълнява дейности по проект CircE - „Ориентиране на Европейските региони към кръговата икономика“. Основната цел на проект „CircE“ е да подпомогне градовете и партньорите по проекта, в прилагането на концепцията за кръгова икономика при разработването на програми, стратегии, планове и проекти.  Проектът се изпълнява в две фази като продължителността на I-ва фаза е 30 месеца (5 семестъра с продължителност от 6 месеца), и същата приключи през м. юни 2019 г. По време на I-ва фаза на проекта всеки партньор имаше за цел да работи по основните икономически сектори (хранителни отпадъци и отпадъци от опаковки от хранителните продукти, отпадъци, генерирани в резултат на туристическа дейности, строителни отпадъци, отпадъци от електрическо и електронно оборудване, текстилни отпадъци, суровини), като се идентифицираха възможностите за развитие на кръговата икономика, както и бариерите, които затрудняват тяхното развитие. Приоритизираха се идентифицираните възможности въз основа на споделени критерии, съгласувани в процеса на проекта. Анализираха се различни стратегически документи, включително и избраните такива, за да се намерят най-добрите практики или нови потенциално ефективни възможности за прилагане на кръговата икономика. Организираха се и се проведоха 9 междупартньорски срещи, с участие на заинтересовани страни, 5 срещи със заинтересовани страни, организирани и проведени на територията на Столична община и една местна среща за разпространение на резултатите от проекта пред общински съветници, партньори на Столична община от научни институции и сред местния бизнес. В резултат на гореизброените дейности всеки от партньорите изготви план за действие за прилагане на кръговата икономика. Планът за действие на Столична община е един от първите валидирани от Управляващия орган на програма „INTERREG Europe” през месец октомври 2019 г. Изпълнението на същия ще бъде част от програмата за управление на отпадъците на Столична община, с период на действие от 2021 г. – 2028 г. От м. юли 2019 г. до м. юни 2021 г. по проекта ще се изпълняват дейности, заложени във II-та му фаза, а именно изпълнение и отчитане на заложените мерки в плана за действие. </w:t>
      </w:r>
    </w:p>
    <w:p w:rsidR="00C301A2" w:rsidRDefault="00D43C36">
      <w:pPr>
        <w:numPr>
          <w:ilvl w:val="0"/>
          <w:numId w:val="29"/>
        </w:numPr>
        <w:tabs>
          <w:tab w:val="left" w:pos="516"/>
          <w:tab w:val="center" w:pos="4536"/>
        </w:tabs>
        <w:spacing w:after="0" w:line="240" w:lineRule="auto"/>
        <w:jc w:val="both"/>
      </w:pPr>
      <w:r>
        <w:rPr>
          <w:rFonts w:ascii="Palatino Linotype" w:eastAsia="Palatino Linotype" w:hAnsi="Palatino Linotype" w:cs="Palatino Linotype"/>
          <w:color w:val="000000"/>
        </w:rPr>
        <w:t xml:space="preserve">С решение от 10 март 2017 г. на Комитета за наблюдение към Програма за транснационално сътрудничество „Балкани – Средиземно море“ (2014 - 2020), е одобрено за финансиране проектно предложение на тема „Стимулиране на гражданското участие в процеса на рециклиране“ (Stimulating citizens participation to recycle processes – Benefit As you Save – BAS), в което Столична община участва като партньор. Водещ партньор на Проекта е град Вула, регион Атика, Гърция. Партньори са още общините Илиджиево (Гърция), Лимасол (Кипър) и Тирана (Албания), подкрепени от Предприемачески център за развитие на МСП и Технически университет „Св. Климент Охридски“ в град Битоля, Македония. Проект BAS се фокусира върху разработването на План за действие за провеждане на пилотно разделно събиране на отпадъци от опаковки и хранителни такива и насърчаване участието на гражданите в процесите на рециклиране и повторна употреба на материалите. През 2018 г. Столична община разработи План за действие за провеждане на пилотно разделно събиране на отпадъци от опаковки и хранителни отпадъци и насърчаване участието на гражданите в процесите на рециклиране и повторна употреба на материалите. В края на 2018 и началото на 2019 г. бяха идентифицирани 300 домакинства от район Надежда, които след решение на общите събрания на входовете на блокове 151, 152 и 160 в квартала, се  включиха в пилотна инициатива за цялостна организация на разделно събиране на отпадъци от опаковки – пластмаса, хартия, отпадъци метал и стъкло и хранителни. В началото на месец март 2019 г. за нуждите на идентифицираните домакинства -доброволци бяха закупени и предоставени комплекти контейнери за домашно ползване за разделно събиране на отпадъци от опаковки (1 бр. за пластмаса/хартия/ метал и 1 бр. за стъкло) и 1 бр. контейнер за събиране хранителни отпадъци. Също така, за целите на проекта в междублоковото пространство на по-горе описаните блокове бяха изградени пет броя заграждения (тип „Зелен остров“ с контрол на достъпа само за участващите в проекта семейства чрез заключване с ключ), където са разположени общите контейнери с обем 1100 л. за разделно събиране на отпадъци (пластмаса/хартия/метал и стъкло), както и съдовете необходими за събиране на останалия смесен битов отпадък, който не следва да попада в другите контейнери. Във всяко заграждение са разположени и по два броя съдове с цвят кафяв, с обем от 240 л., общо 10 бр., където участващите домакинства ежедневно изхвърлят разделно хранителни отпадъци. Пилотната инициатива стартира на 1 март 2019г. и ще продължи 12 месеца. Във всеки един от съдовете за сметосъбиране, намиращи се вече в загражденията тип „Зелен остров“, бяха монтирани сензори за обем, които следят запълняемостта на поставените контейнери, вкл. и на контейнерите за смесен битов отпадък.   Данните, събрани в резултат на проведения пилотен проект, ще послужат при анализа на бъдещ механизъм за формиране на такса смет, необходим след въвеждане на промени в Закона за местните данъци и такси през 2017 г., които влизат в сила от 01.01.2022 г. Столична община се съобрази с желанието на участниците в проект “Стимулиране на гражданското участие в процеса на рециклиране” (Stimulating citizens participation to recycle processes – Benefit As You Safe - BAS), финансиран по програма за транснационално сътрудничество “Балкани – Средиземно море” (2014 – 2020) да бъде проведен „мини хепънинг“ на територията на междублоковото пространство на включените в проекта домакинства-доброволци. Хепънингът се състоя в ж.к. Надежда 1, градинката между бл. 151,152 и 160 на 01.06.2019г., на който присъстваха всички представители на домакинствата - участници, представители на Столична община и район Надежда. Празникът продължи с откриване на ново изградената от страна на СО детска площадка, която всички живущи в района ще могат да ползват, както и с различни забавления за деца, музика и образователни игри с еко насоченост. Повече информация за проекта е достъпна на следния адрес:  </w:t>
      </w:r>
      <w:hyperlink r:id="rId19">
        <w:r>
          <w:rPr>
            <w:rFonts w:ascii="Palatino Linotype" w:eastAsia="Palatino Linotype" w:hAnsi="Palatino Linotype" w:cs="Palatino Linotype"/>
            <w:color w:val="0563C1"/>
            <w:u w:val="single"/>
          </w:rPr>
          <w:t>https://sofia.bg/web/guest/basЛ</w:t>
        </w:r>
      </w:hyperlink>
      <w:r>
        <w:rPr>
          <w:rFonts w:ascii="Palatino Linotype" w:eastAsia="Palatino Linotype" w:hAnsi="Palatino Linotype" w:cs="Palatino Linotype"/>
          <w:color w:val="000000"/>
        </w:rPr>
        <w:t xml:space="preserve"> В резултат изпълнението на дейностите по проекта през 2020 с Решение на Столичен общински съвет №639 от 17.12.2020г. се одобри разширяване на системата за разделно събиране на отпадъци в други райони на Столична община.</w:t>
      </w:r>
    </w:p>
    <w:p w:rsidR="00C301A2" w:rsidRDefault="00D43C36">
      <w:pPr>
        <w:numPr>
          <w:ilvl w:val="0"/>
          <w:numId w:val="29"/>
        </w:numPr>
        <w:tabs>
          <w:tab w:val="left" w:pos="516"/>
          <w:tab w:val="center" w:pos="4536"/>
        </w:tabs>
        <w:spacing w:after="0" w:line="240"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Проект „Изграждане на инсталация за комбинирано производство на енергия в София с оползотворяване на RDF отпадък“ – III етап от проект „Интегрирана система от съоръжения за третиране на битовите отпадъци на СО“. На 25.11.2019 г. ГД „Конкуренция“ одобри българските планове за подпомагане на изграждането и експлоатацията на високоефективна централа за комбинирано производство на електроенергия и топлинна енергия, използваща гориво, получено от негодни за рециклиране битови отпадъци, като отговарящи на правилата на ЕС за държавната помощ. Въз основа на това, с Решение CCI 2018BG16RFMP003 от 01.04.2020 г. органите на ЕК одобриха окончателно реализацията на проекта.</w:t>
      </w:r>
    </w:p>
    <w:p w:rsidR="00C301A2" w:rsidRDefault="00C301A2">
      <w:pPr>
        <w:jc w:val="both"/>
        <w:rPr>
          <w:rFonts w:ascii="Palatino Linotype" w:eastAsia="Palatino Linotype" w:hAnsi="Palatino Linotype" w:cs="Palatino Linotype"/>
        </w:rPr>
      </w:pPr>
    </w:p>
    <w:p w:rsidR="00C301A2" w:rsidRDefault="00D43C36">
      <w:pPr>
        <w:numPr>
          <w:ilvl w:val="2"/>
          <w:numId w:val="30"/>
        </w:numPr>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Състояние на човешките ресурси с възложени функции за отпадъци</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Политиката за повишаване на квалификацията на служителите в общината се изпълнява от дирекция „Човешки ресурси”. </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Анализът на състоянието на човешките ресурси следва да отчете като минимум следните качествени характеристики:</w:t>
      </w:r>
    </w:p>
    <w:p w:rsidR="00C301A2" w:rsidRDefault="00D43C36">
      <w:pPr>
        <w:numPr>
          <w:ilvl w:val="0"/>
          <w:numId w:val="28"/>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ниво на професионална квалификация на служителите, </w:t>
      </w:r>
    </w:p>
    <w:p w:rsidR="00C301A2" w:rsidRDefault="00D43C36">
      <w:pPr>
        <w:numPr>
          <w:ilvl w:val="0"/>
          <w:numId w:val="28"/>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наличие или липса на мерки в общината за повишаване на квалификацията; </w:t>
      </w:r>
    </w:p>
    <w:p w:rsidR="00C301A2" w:rsidRDefault="00D43C36">
      <w:pPr>
        <w:numPr>
          <w:ilvl w:val="0"/>
          <w:numId w:val="28"/>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практики с набирането, назначаването и задържането на необходимите кадри; </w:t>
      </w:r>
    </w:p>
    <w:p w:rsidR="00C301A2" w:rsidRDefault="00D43C36">
      <w:pPr>
        <w:numPr>
          <w:ilvl w:val="0"/>
          <w:numId w:val="28"/>
        </w:numPr>
        <w:pBdr>
          <w:top w:val="nil"/>
          <w:left w:val="nil"/>
          <w:bottom w:val="nil"/>
          <w:right w:val="nil"/>
          <w:between w:val="nil"/>
        </w:pBd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оценка за бъдещите потребности в краткосрочна и средносрочна перспектива.</w:t>
      </w:r>
    </w:p>
    <w:p w:rsidR="00C301A2" w:rsidRDefault="00D43C36">
      <w:pPr>
        <w:ind w:firstLine="720"/>
        <w:jc w:val="both"/>
        <w:rPr>
          <w:rFonts w:ascii="Palatino Linotype" w:eastAsia="Palatino Linotype" w:hAnsi="Palatino Linotype" w:cs="Palatino Linotype"/>
        </w:rPr>
      </w:pPr>
      <w:r>
        <w:rPr>
          <w:rFonts w:ascii="Palatino Linotype" w:eastAsia="Palatino Linotype" w:hAnsi="Palatino Linotype" w:cs="Palatino Linotype"/>
        </w:rPr>
        <w:t xml:space="preserve">На базата на наличната и допълнително предоставена информация по отношение на лицата, ангажирани в процеса на управление на отпадъците на територията на Столична община не са идентифицирани конкретни проблеми, свързани с квалификацията на персонала, изпълняващ функции за отпадъците, както и бъдещите потребности на служителите във връзка с повишаване на експертизата в сферата на отпадъците,  </w:t>
      </w:r>
      <w:bookmarkStart w:id="10" w:name="bookmark=id.4d34og8" w:colFirst="0" w:colLast="0"/>
      <w:bookmarkEnd w:id="10"/>
      <w:r>
        <w:rPr>
          <w:rFonts w:ascii="Palatino Linotype" w:eastAsia="Palatino Linotype" w:hAnsi="Palatino Linotype" w:cs="Palatino Linotype"/>
        </w:rPr>
        <w:t>не е идентифицирано  припокриване на функции между служителите както в хоризонтален, така и във вертикален аспект.</w:t>
      </w:r>
    </w:p>
    <w:p w:rsidR="00C301A2" w:rsidRDefault="00D43C36">
      <w:pPr>
        <w:ind w:firstLine="720"/>
        <w:jc w:val="both"/>
        <w:rPr>
          <w:rFonts w:ascii="Palatino Linotype" w:eastAsia="Palatino Linotype" w:hAnsi="Palatino Linotype" w:cs="Palatino Linotype"/>
        </w:rPr>
      </w:pPr>
      <w:r>
        <w:rPr>
          <w:rFonts w:ascii="Palatino Linotype" w:eastAsia="Palatino Linotype" w:hAnsi="Palatino Linotype" w:cs="Palatino Linotype"/>
        </w:rPr>
        <w:t>Единствената публично налична информация от декември 2018 г. вследствие на извършен анализ на работните процеси в администрацията на Столична община от „Визия за София“</w:t>
      </w:r>
      <w:r>
        <w:rPr>
          <w:rFonts w:ascii="Palatino Linotype" w:eastAsia="Palatino Linotype" w:hAnsi="Palatino Linotype" w:cs="Palatino Linotype"/>
          <w:vertAlign w:val="superscript"/>
        </w:rPr>
        <w:footnoteReference w:id="2"/>
      </w:r>
      <w:r>
        <w:rPr>
          <w:rFonts w:ascii="Palatino Linotype" w:eastAsia="Palatino Linotype" w:hAnsi="Palatino Linotype" w:cs="Palatino Linotype"/>
        </w:rPr>
        <w:t>, извежда общи констатации (в съкр.), както следва:</w:t>
      </w:r>
    </w:p>
    <w:p w:rsidR="00C301A2" w:rsidRDefault="00D43C36">
      <w:pPr>
        <w:ind w:firstLine="720"/>
        <w:jc w:val="both"/>
        <w:rPr>
          <w:rFonts w:ascii="Palatino Linotype" w:eastAsia="Palatino Linotype" w:hAnsi="Palatino Linotype" w:cs="Palatino Linotype"/>
        </w:rPr>
      </w:pPr>
      <w:r>
        <w:rPr>
          <w:rFonts w:ascii="Palatino Linotype" w:eastAsia="Palatino Linotype" w:hAnsi="Palatino Linotype" w:cs="Palatino Linotype"/>
        </w:rPr>
        <w:t xml:space="preserve">Провеждат се редовни атестации на персонала съобразно изискванията на нормативната уредба, идентифицират се бъдещи потребности от повишаване на квалификацията, планират, организират и се осъществяват дейности по общото и специализирано обучение на служителите в общината. Броят на служителите в звената за управление на отпадъците е достатъчен за изпълнение на възложените функции. Квалификацията на заетите служители в сферата на управление на отпадъците е добра.  </w:t>
      </w:r>
    </w:p>
    <w:p w:rsidR="00C301A2" w:rsidRDefault="00D43C36">
      <w:pPr>
        <w:ind w:firstLine="720"/>
        <w:jc w:val="both"/>
        <w:rPr>
          <w:rFonts w:ascii="Palatino Linotype" w:eastAsia="Palatino Linotype" w:hAnsi="Palatino Linotype" w:cs="Palatino Linotype"/>
        </w:rPr>
      </w:pPr>
      <w:r>
        <w:rPr>
          <w:rFonts w:ascii="Palatino Linotype" w:eastAsia="Palatino Linotype" w:hAnsi="Palatino Linotype" w:cs="Palatino Linotype"/>
        </w:rPr>
        <w:t xml:space="preserve">Текучеството в СО е сравнително ниско, като стойностите са под 5% от служителите. </w:t>
      </w:r>
    </w:p>
    <w:p w:rsidR="00C301A2" w:rsidRDefault="00D43C36">
      <w:pPr>
        <w:ind w:firstLine="720"/>
        <w:jc w:val="both"/>
        <w:rPr>
          <w:rFonts w:ascii="Palatino Linotype" w:eastAsia="Palatino Linotype" w:hAnsi="Palatino Linotype" w:cs="Palatino Linotype"/>
        </w:rPr>
      </w:pPr>
      <w:r>
        <w:rPr>
          <w:rFonts w:ascii="Palatino Linotype" w:eastAsia="Palatino Linotype" w:hAnsi="Palatino Linotype" w:cs="Palatino Linotype"/>
        </w:rPr>
        <w:t xml:space="preserve">По отношение на повишаване на специфичната квалификация на персонала, необходимо е да се формализира процесът на създаване на база данни и документация за изпълнените дейности от всяко направление на общо общинско ниво. Това ще позволи на служителите да се възползват от натрупаните знания и опит. </w:t>
      </w:r>
    </w:p>
    <w:p w:rsidR="00C301A2" w:rsidRDefault="00D43C36">
      <w:pPr>
        <w:ind w:firstLine="720"/>
        <w:jc w:val="both"/>
        <w:rPr>
          <w:rFonts w:ascii="Palatino Linotype" w:eastAsia="Palatino Linotype" w:hAnsi="Palatino Linotype" w:cs="Palatino Linotype"/>
        </w:rPr>
      </w:pPr>
      <w:r>
        <w:rPr>
          <w:rFonts w:ascii="Palatino Linotype" w:eastAsia="Palatino Linotype" w:hAnsi="Palatino Linotype" w:cs="Palatino Linotype"/>
        </w:rPr>
        <w:t xml:space="preserve">Служителите също могат да поискат обучение по тяхна преценка, но не е изграден механизъм за обезпечаване на съответствието между целите и нуждите на звеното и поисканото от служителя обучение. </w:t>
      </w:r>
    </w:p>
    <w:p w:rsidR="00C301A2" w:rsidRDefault="00D43C36">
      <w:pPr>
        <w:ind w:firstLine="720"/>
        <w:jc w:val="both"/>
        <w:rPr>
          <w:rFonts w:ascii="Palatino Linotype" w:eastAsia="Palatino Linotype" w:hAnsi="Palatino Linotype" w:cs="Palatino Linotype"/>
        </w:rPr>
      </w:pPr>
      <w:r>
        <w:rPr>
          <w:rFonts w:ascii="Palatino Linotype" w:eastAsia="Palatino Linotype" w:hAnsi="Palatino Linotype" w:cs="Palatino Linotype"/>
        </w:rPr>
        <w:t>Материално-техническата и информационната обезпеченост на служителите с функции за управление на отпадъците в общата и специализираната администрация е добра. Съществува вътрешна мрежа за обмен на информация, до която всички служители имат достъп. Там се съхраняват вътрешните правила, формуляри, устройственият правилник и телефонен указател. Друго споделено пространство във вътрешната мрежа се използва за съвместна проектна работа и споделяне на файлове. Наличието на подобни инструменти за съвместна работа е в пълно съответствие с новите тенденции в използването на информационните технологии в процеса на работа и управление на познанието.</w:t>
      </w:r>
    </w:p>
    <w:p w:rsidR="00C301A2" w:rsidRDefault="00D43C36">
      <w:pPr>
        <w:numPr>
          <w:ilvl w:val="2"/>
          <w:numId w:val="30"/>
        </w:numPr>
        <w:jc w:val="both"/>
        <w:rPr>
          <w:rFonts w:ascii="Palatino Linotype" w:eastAsia="Palatino Linotype" w:hAnsi="Palatino Linotype" w:cs="Palatino Linotype"/>
          <w:b/>
          <w:color w:val="000000"/>
        </w:rPr>
      </w:pPr>
      <w:bookmarkStart w:id="11" w:name="_heading=h.2s8eyo1" w:colFirst="0" w:colLast="0"/>
      <w:bookmarkEnd w:id="11"/>
      <w:r>
        <w:rPr>
          <w:rFonts w:ascii="Palatino Linotype" w:eastAsia="Palatino Linotype" w:hAnsi="Palatino Linotype" w:cs="Palatino Linotype"/>
          <w:b/>
          <w:color w:val="000000"/>
        </w:rPr>
        <w:t>Изводи и препоръки</w:t>
      </w:r>
    </w:p>
    <w:p w:rsidR="00C301A2" w:rsidRDefault="00D43C36">
      <w:pPr>
        <w:numPr>
          <w:ilvl w:val="3"/>
          <w:numId w:val="30"/>
        </w:numPr>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По отношение на изпълнението на основните функции</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Ангажиментите на кмета на Столична община по отношение на управлението на отпадъците са възложени на Дирекция „Управление на отпадъците и контролна дейност”, която е част от специализираната администрация – Направление „Зелена система, екология и земеползване“ с отговорен заместник-кмет.  </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Основните функции по осъществяване на политиката по управление на отпадъците, се осъществяват от Дирекция УОКД, като в конкретни области от управление на отпадъците допълващи/съдействащи функции имат и други дирекции в специализираната администрация.</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  Във връзка с финансовото, правното, административното и друго обезпечаване на политиката за управление на отпадъците, различни функции са възложени на няколко дирекции в общата администрация.</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Всяко от ангажираните в процеса по управление на отпадъците структурни звена има разписани конкретни функции. Анализът на събраната информация не извежда извод за дублиране на функции. Липсват ясно формулирани функции по отношение на  привличане на обществеността чрез консултации, информационно-образователни дейности. Предлагаме конкретните функции, залегнали в устройствения правилник, да бъдат разписани по групи функции, както в настоящия анализ, както следва:</w:t>
      </w:r>
    </w:p>
    <w:p w:rsidR="00C301A2" w:rsidRDefault="00D43C36">
      <w:pPr>
        <w:numPr>
          <w:ilvl w:val="0"/>
          <w:numId w:val="1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функции по политиката за отпадъците - разработване на общински програмни и нормативни документи;</w:t>
      </w:r>
    </w:p>
    <w:p w:rsidR="00C301A2" w:rsidRDefault="00D43C36">
      <w:pPr>
        <w:numPr>
          <w:ilvl w:val="0"/>
          <w:numId w:val="1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функции по предоставяне на услуги - дейности по събиране и третиране на отпадъците, разработване на годишни бюджети и определяне на годишните такси за предоставяне на услугата;</w:t>
      </w:r>
    </w:p>
    <w:p w:rsidR="00C301A2" w:rsidRDefault="00D43C36">
      <w:pPr>
        <w:numPr>
          <w:ilvl w:val="0"/>
          <w:numId w:val="18"/>
        </w:numP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функции по наблюдение и контрол – извършване на контрол и инспекции, в т.ч. превантивен, текущ и последващ контрол и координация с други органи;</w:t>
      </w:r>
    </w:p>
    <w:p w:rsidR="00C301A2" w:rsidRDefault="00D43C36">
      <w:pPr>
        <w:numPr>
          <w:ilvl w:val="0"/>
          <w:numId w:val="18"/>
        </w:numP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функции за привличане на обществеността - обществени консултации, информационно-образователни дейности, граждански контрол</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с цел формулировката им да бъде по-ясна, точна  и диференцирана, без да се допуска повторение, както и да се допълни Устройствения Правилник на СО с конкретно формулирани функции за работа с обществеността. </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По отношение на събиране, транспортиране, оползотворяване и третиране на отпадъците, общината обезпечава изпълнението на функциите, като прилага подходяща комбинация от няколко подхода. Постигнато е едно добро оптимизиране на системата по управление на потоците отпадъци на територията на общината, като повечето функции по събиране, транспортиране, оползотворяване и третиране на отпадъците са изведени чрез възлагането им на външни изпълнители.</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  Анализът на събраната информация показва, че са обхванати и напълно обезпечени функциите на администрацията, които произтичат като ангажимент по реда на ЗУО и подзаконовите нормативни ангажименти.</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  По отношение на обществени консултации и информиране на обществеността, общи функции са възложени на Дирекция УОКД в координация с други общински административни звена. Комуникацията и информационното обслужване на гражданите, включително сигнали и жалби се обслужва основно електронно. Препоръчително е поддържането и на други канали за информация – медии, преса, плакати и т. н. </w:t>
      </w:r>
    </w:p>
    <w:p w:rsidR="00C301A2" w:rsidRDefault="00D43C36">
      <w:pPr>
        <w:ind w:firstLine="708"/>
        <w:jc w:val="both"/>
        <w:rPr>
          <w:rFonts w:ascii="Palatino Linotype" w:eastAsia="Palatino Linotype" w:hAnsi="Palatino Linotype" w:cs="Palatino Linotype"/>
        </w:rPr>
      </w:pPr>
      <w:bookmarkStart w:id="12" w:name="_heading=h.2et92p0" w:colFirst="0" w:colLast="0"/>
      <w:bookmarkEnd w:id="12"/>
      <w:r>
        <w:rPr>
          <w:rFonts w:ascii="Palatino Linotype" w:eastAsia="Palatino Linotype" w:hAnsi="Palatino Linotype" w:cs="Palatino Linotype"/>
        </w:rPr>
        <w:t>Необходимо е изрично да се включат ясни функции за информираност и участие на обществеността устройствените правила на общинската администрация, ангажирана с дейности по управлението на отпадъците.</w:t>
      </w:r>
    </w:p>
    <w:p w:rsidR="00C301A2" w:rsidRDefault="00C301A2">
      <w:pPr>
        <w:spacing w:after="0"/>
        <w:ind w:left="720"/>
        <w:rPr>
          <w:rFonts w:ascii="Palatino Linotype" w:eastAsia="Palatino Linotype" w:hAnsi="Palatino Linotype" w:cs="Palatino Linotype"/>
          <w:color w:val="000000"/>
        </w:rPr>
      </w:pPr>
    </w:p>
    <w:p w:rsidR="00C301A2" w:rsidRDefault="00D43C36">
      <w:pPr>
        <w:numPr>
          <w:ilvl w:val="3"/>
          <w:numId w:val="30"/>
        </w:numPr>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По отношение на изпълнението на контролните функции</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Обезпечени са контролните правомощия на кмета на общината в съответствие със ЗУО, както по отношение обхвата, така и по отношение регламентираните видове контрол и минималната честота на контролните проверки. Осъществяват се документални проверки на задължените лица и проверки на място в обектите за спазване на изискванията на закона и наредбите. Преценката на нарушенията не са по свободно тълкуване на контролните органи, а се основават на анализ и фактите и съответната приложима нормативна уредба.</w:t>
      </w:r>
    </w:p>
    <w:p w:rsidR="00C301A2" w:rsidRDefault="00D43C36" w:rsidP="001024B0">
      <w:pPr>
        <w:ind w:firstLine="708"/>
        <w:jc w:val="both"/>
        <w:rPr>
          <w:rFonts w:ascii="Palatino Linotype" w:eastAsia="Palatino Linotype" w:hAnsi="Palatino Linotype" w:cs="Palatino Linotype"/>
        </w:rPr>
      </w:pPr>
      <w:r>
        <w:rPr>
          <w:rFonts w:ascii="Palatino Linotype" w:eastAsia="Palatino Linotype" w:hAnsi="Palatino Linotype" w:cs="Palatino Linotype"/>
        </w:rPr>
        <w:t>Контролът от страна на инспекторите, също така може да бъде подпомаган от обществеността чрез подаване на сигнали и данни, като за тази цел е необходимо да се засилят мерките за повишаване на информираността на обществеността относно управлението на отпадъците на територията на СО, включително с посочване на констатираните нарушения и нарушители.</w:t>
      </w:r>
    </w:p>
    <w:p w:rsidR="001024B0" w:rsidRDefault="001024B0" w:rsidP="001024B0">
      <w:pPr>
        <w:ind w:firstLine="708"/>
        <w:jc w:val="both"/>
        <w:rPr>
          <w:rFonts w:ascii="Palatino Linotype" w:eastAsia="Palatino Linotype" w:hAnsi="Palatino Linotype" w:cs="Palatino Linotype"/>
        </w:rPr>
      </w:pPr>
    </w:p>
    <w:p w:rsidR="00C301A2" w:rsidRDefault="00D43C36">
      <w:pPr>
        <w:numPr>
          <w:ilvl w:val="3"/>
          <w:numId w:val="30"/>
        </w:numPr>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По отношение на човешките ресурси</w:t>
      </w:r>
    </w:p>
    <w:p w:rsidR="00C301A2" w:rsidRDefault="00D43C36">
      <w:pPr>
        <w:ind w:firstLine="708"/>
        <w:jc w:val="both"/>
        <w:rPr>
          <w:rFonts w:ascii="Palatino Linotype" w:eastAsia="Palatino Linotype" w:hAnsi="Palatino Linotype" w:cs="Palatino Linotype"/>
        </w:rPr>
      </w:pPr>
      <w:bookmarkStart w:id="13" w:name="_heading=h.tyjcwt" w:colFirst="0" w:colLast="0"/>
      <w:bookmarkEnd w:id="13"/>
      <w:r>
        <w:rPr>
          <w:rFonts w:ascii="Palatino Linotype" w:eastAsia="Palatino Linotype" w:hAnsi="Palatino Linotype" w:cs="Palatino Linotype"/>
        </w:rPr>
        <w:t>Състоянието на човешките ресурси, натоварени с функции за отпадъци, и на тяхната техническа и информационна обезпеченост е добра.</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 xml:space="preserve"> По отношение на повишаване на специфичната квалификация на персонала, необходимо е да се формализира процесът на създаване на база данни и документация за изпълнените дейности от всяко направление на общо общинско ниво. Това ще позволи на служителите да се възползват от натрупаните</w:t>
      </w:r>
      <w:sdt>
        <w:sdtPr>
          <w:tag w:val="goog_rdk_0"/>
          <w:id w:val="-2117281809"/>
          <w:showingPlcHdr/>
        </w:sdtPr>
        <w:sdtEndPr/>
        <w:sdtContent>
          <w:r w:rsidR="00CB6C4A">
            <w:t xml:space="preserve">     </w:t>
          </w:r>
        </w:sdtContent>
      </w:sdt>
      <w:r>
        <w:rPr>
          <w:rFonts w:ascii="Palatino Linotype" w:eastAsia="Palatino Linotype" w:hAnsi="Palatino Linotype" w:cs="Palatino Linotype"/>
        </w:rPr>
        <w:t xml:space="preserve">знания и опит. </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Необходимо е също така преминатите обучения да бъдат отчитани в индивидуалните планове и да станат част от атестацията.</w:t>
      </w:r>
    </w:p>
    <w:p w:rsidR="00C301A2" w:rsidRDefault="00D43C36">
      <w:pPr>
        <w:ind w:firstLine="708"/>
        <w:jc w:val="both"/>
        <w:rPr>
          <w:rFonts w:ascii="Palatino Linotype" w:eastAsia="Palatino Linotype" w:hAnsi="Palatino Linotype" w:cs="Palatino Linotype"/>
        </w:rPr>
      </w:pPr>
      <w:r>
        <w:rPr>
          <w:rFonts w:ascii="Palatino Linotype" w:eastAsia="Palatino Linotype" w:hAnsi="Palatino Linotype" w:cs="Palatino Linotype"/>
        </w:rPr>
        <w:t>Вътрешната мрежа за обмен на информация би била по-ефективна, ако употребата й стане част от вътрешните правила на дирекциите, което да я превърне в стандартна и широко разпространена практика.</w:t>
      </w:r>
    </w:p>
    <w:p w:rsidR="00C301A2" w:rsidRDefault="00D43C36">
      <w:pPr>
        <w:jc w:val="both"/>
        <w:rPr>
          <w:rFonts w:ascii="Palatino Linotype" w:eastAsia="Palatino Linotype" w:hAnsi="Palatino Linotype" w:cs="Palatino Linotype"/>
        </w:rPr>
      </w:pPr>
      <w:r>
        <w:rPr>
          <w:rFonts w:ascii="Palatino Linotype" w:eastAsia="Palatino Linotype" w:hAnsi="Palatino Linotype" w:cs="Palatino Linotype"/>
        </w:rPr>
        <w:tab/>
      </w:r>
      <w:bookmarkStart w:id="14" w:name="bookmark=id.17dp8vu" w:colFirst="0" w:colLast="0"/>
      <w:bookmarkEnd w:id="14"/>
      <w:r>
        <w:rPr>
          <w:rFonts w:ascii="Palatino Linotype" w:eastAsia="Palatino Linotype" w:hAnsi="Palatino Linotype" w:cs="Palatino Linotype"/>
        </w:rPr>
        <w:t>Няма информация доколко разпределението на функциите в общинската администрация е ясно и няма припокриване на функции между служителите както в хоризонтален, така и във вертикален аспект.</w:t>
      </w:r>
    </w:p>
    <w:p w:rsidR="00C301A2" w:rsidRDefault="00C301A2">
      <w:pPr>
        <w:jc w:val="both"/>
      </w:pPr>
    </w:p>
    <w:sectPr w:rsidR="00C301A2">
      <w:headerReference w:type="default" r:id="rId20"/>
      <w:footerReference w:type="default" r:id="rId21"/>
      <w:pgSz w:w="11906" w:h="16838"/>
      <w:pgMar w:top="1418" w:right="1418" w:bottom="1418" w:left="1418" w:header="680" w:footer="68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C36" w:rsidRDefault="00D43C36">
      <w:pPr>
        <w:spacing w:after="0" w:line="240" w:lineRule="auto"/>
      </w:pPr>
      <w:r>
        <w:separator/>
      </w:r>
    </w:p>
  </w:endnote>
  <w:endnote w:type="continuationSeparator" w:id="0">
    <w:p w:rsidR="00D43C36" w:rsidRDefault="00D43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1A2" w:rsidRDefault="00D43C36">
    <w:pPr>
      <w:tabs>
        <w:tab w:val="center" w:pos="4536"/>
        <w:tab w:val="right" w:pos="9072"/>
      </w:tabs>
      <w:spacing w:after="0" w:line="240" w:lineRule="auto"/>
      <w:jc w:val="right"/>
    </w:pPr>
    <w:r>
      <w:fldChar w:fldCharType="begin"/>
    </w:r>
    <w:r>
      <w:instrText>PAGE</w:instrText>
    </w:r>
    <w:r>
      <w:fldChar w:fldCharType="separate"/>
    </w:r>
    <w:r w:rsidR="006350B3">
      <w:rPr>
        <w:noProof/>
      </w:rPr>
      <w:t>34</w:t>
    </w:r>
    <w:r>
      <w:fldChar w:fldCharType="end"/>
    </w:r>
  </w:p>
  <w:p w:rsidR="00C301A2" w:rsidRDefault="00C301A2">
    <w:pPr>
      <w:tabs>
        <w:tab w:val="center" w:pos="4536"/>
        <w:tab w:val="right" w:pos="9072"/>
      </w:tabs>
      <w:spacing w:after="0" w:line="240" w:lineRule="auto"/>
      <w:rPr>
        <w:rFonts w:ascii="Calibri" w:eastAsia="Calibri" w:hAnsi="Calibri" w:cs="Calibri"/>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C36" w:rsidRDefault="00D43C36">
      <w:pPr>
        <w:spacing w:after="0" w:line="240" w:lineRule="auto"/>
      </w:pPr>
      <w:r>
        <w:separator/>
      </w:r>
    </w:p>
  </w:footnote>
  <w:footnote w:type="continuationSeparator" w:id="0">
    <w:p w:rsidR="00D43C36" w:rsidRDefault="00D43C36">
      <w:pPr>
        <w:spacing w:after="0" w:line="240" w:lineRule="auto"/>
      </w:pPr>
      <w:r>
        <w:continuationSeparator/>
      </w:r>
    </w:p>
  </w:footnote>
  <w:footnote w:id="1">
    <w:p w:rsidR="00C301A2" w:rsidRDefault="00D43C36">
      <w:pPr>
        <w:pBdr>
          <w:top w:val="nil"/>
          <w:left w:val="nil"/>
          <w:bottom w:val="nil"/>
          <w:right w:val="nil"/>
          <w:between w:val="nil"/>
        </w:pBdr>
        <w:spacing w:after="0" w:line="240" w:lineRule="auto"/>
        <w:jc w:val="both"/>
        <w:rPr>
          <w:rFonts w:ascii="Palatino Linotype" w:eastAsia="Palatino Linotype" w:hAnsi="Palatino Linotype" w:cs="Palatino Linotype"/>
          <w:color w:val="000000"/>
          <w:sz w:val="20"/>
          <w:szCs w:val="20"/>
        </w:rPr>
      </w:pPr>
      <w:r>
        <w:rPr>
          <w:rStyle w:val="FootnoteReference"/>
        </w:rPr>
        <w:footnoteRef/>
      </w:r>
      <w:r>
        <w:rPr>
          <w:rFonts w:ascii="Palatino Linotype" w:eastAsia="Palatino Linotype" w:hAnsi="Palatino Linotype" w:cs="Palatino Linotype"/>
          <w:color w:val="000000"/>
          <w:sz w:val="20"/>
          <w:szCs w:val="20"/>
        </w:rPr>
        <w:t xml:space="preserve"> ОП СПТО е създадено в рамките на проект „Интегрирана система от съоръжения за третиране на битовите отпадъци на Столична община”, финансиран от Оперативна програма „Околна среда 2007-2013”</w:t>
      </w:r>
    </w:p>
  </w:footnote>
  <w:footnote w:id="2">
    <w:p w:rsidR="00C301A2" w:rsidRDefault="00D43C36">
      <w:pPr>
        <w:pBdr>
          <w:top w:val="nil"/>
          <w:left w:val="nil"/>
          <w:bottom w:val="nil"/>
          <w:right w:val="nil"/>
          <w:between w:val="nil"/>
        </w:pBdr>
        <w:spacing w:after="0" w:line="240" w:lineRule="auto"/>
        <w:rPr>
          <w:rFonts w:ascii="Calibri" w:eastAsia="Calibri" w:hAnsi="Calibri" w:cs="Calibri"/>
          <w:color w:val="000000"/>
          <w:sz w:val="20"/>
          <w:szCs w:val="20"/>
        </w:rPr>
      </w:pPr>
      <w:r>
        <w:rPr>
          <w:rStyle w:val="FootnoteReference"/>
        </w:rPr>
        <w:footnoteRef/>
      </w:r>
      <w:r>
        <w:rPr>
          <w:rFonts w:ascii="Calibri" w:eastAsia="Calibri" w:hAnsi="Calibri" w:cs="Calibri"/>
          <w:color w:val="000000"/>
          <w:sz w:val="20"/>
          <w:szCs w:val="20"/>
        </w:rPr>
        <w:t xml:space="preserve"> </w:t>
      </w:r>
      <w:hyperlink r:id="rId1">
        <w:r>
          <w:rPr>
            <w:rFonts w:ascii="Calibri" w:eastAsia="Calibri" w:hAnsi="Calibri" w:cs="Calibri"/>
            <w:color w:val="0563C1"/>
            <w:sz w:val="20"/>
            <w:szCs w:val="20"/>
            <w:u w:val="single"/>
          </w:rPr>
          <w:t>https://vizia.sofia.bg/</w:t>
        </w:r>
      </w:hyperlink>
      <w:r>
        <w:rPr>
          <w:rFonts w:ascii="Calibri" w:eastAsia="Calibri" w:hAnsi="Calibri" w:cs="Calibri"/>
          <w:color w:val="000000"/>
          <w:sz w:val="20"/>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1A2" w:rsidRDefault="00D43C36">
    <w:pPr>
      <w:tabs>
        <w:tab w:val="center" w:pos="4536"/>
        <w:tab w:val="right" w:pos="9072"/>
      </w:tabs>
      <w:spacing w:after="0" w:line="240" w:lineRule="auto"/>
    </w:pPr>
    <w:r>
      <w:rPr>
        <w:noProof/>
        <w:lang w:val="en-GB" w:eastAsia="en-GB"/>
      </w:rPr>
      <w:drawing>
        <wp:inline distT="0" distB="0" distL="0" distR="0">
          <wp:extent cx="5762625" cy="923925"/>
          <wp:effectExtent l="0" t="0" r="0" b="0"/>
          <wp:docPr id="3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762625" cy="923925"/>
                  </a:xfrm>
                  <a:prstGeom prst="rect">
                    <a:avLst/>
                  </a:prstGeom>
                  <a:ln/>
                </pic:spPr>
              </pic:pic>
            </a:graphicData>
          </a:graphic>
        </wp:inline>
      </w:drawing>
    </w:r>
  </w:p>
  <w:p w:rsidR="00C301A2" w:rsidRDefault="00C301A2">
    <w:pPr>
      <w:tabs>
        <w:tab w:val="center" w:pos="4536"/>
        <w:tab w:val="right" w:pos="9072"/>
      </w:tabs>
      <w:spacing w:after="0" w:line="240" w:lineRule="aut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E80"/>
    <w:multiLevelType w:val="multilevel"/>
    <w:tmpl w:val="872074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B13DC4"/>
    <w:multiLevelType w:val="multilevel"/>
    <w:tmpl w:val="A5C6322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9220347"/>
    <w:multiLevelType w:val="multilevel"/>
    <w:tmpl w:val="D59C6AC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482EC5"/>
    <w:multiLevelType w:val="multilevel"/>
    <w:tmpl w:val="E0AE2F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652E4E"/>
    <w:multiLevelType w:val="multilevel"/>
    <w:tmpl w:val="5F3AA4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927272A"/>
    <w:multiLevelType w:val="multilevel"/>
    <w:tmpl w:val="802EF4CE"/>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Noto Sans Symbols" w:eastAsia="Noto Sans Symbols" w:hAnsi="Noto Sans Symbols" w:cs="Noto Sans Symbols"/>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Noto Sans Symbols" w:eastAsia="Noto Sans Symbols" w:hAnsi="Noto Sans Symbols" w:cs="Noto Sans Symbols"/>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Noto Sans Symbols" w:eastAsia="Noto Sans Symbols" w:hAnsi="Noto Sans Symbols" w:cs="Noto Sans Symbols"/>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6" w15:restartNumberingAfterBreak="0">
    <w:nsid w:val="1CA80DF3"/>
    <w:multiLevelType w:val="multilevel"/>
    <w:tmpl w:val="C97AD7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Noto Sans Symbols" w:eastAsia="Noto Sans Symbols" w:hAnsi="Noto Sans Symbols" w:cs="Noto Sans Symbols"/>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Noto Sans Symbols" w:eastAsia="Noto Sans Symbols" w:hAnsi="Noto Sans Symbols" w:cs="Noto Sans Symbols"/>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D6D1483"/>
    <w:multiLevelType w:val="multilevel"/>
    <w:tmpl w:val="10DE51D6"/>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Noto Sans Symbols" w:eastAsia="Noto Sans Symbols" w:hAnsi="Noto Sans Symbols" w:cs="Noto Sans Symbols"/>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Noto Sans Symbols" w:eastAsia="Noto Sans Symbols" w:hAnsi="Noto Sans Symbols" w:cs="Noto Sans Symbols"/>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Noto Sans Symbols" w:eastAsia="Noto Sans Symbols" w:hAnsi="Noto Sans Symbols" w:cs="Noto Sans Symbols"/>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8" w15:restartNumberingAfterBreak="0">
    <w:nsid w:val="232A4072"/>
    <w:multiLevelType w:val="multilevel"/>
    <w:tmpl w:val="11729A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Noto Sans Symbols" w:eastAsia="Noto Sans Symbols" w:hAnsi="Noto Sans Symbols" w:cs="Noto Sans Symbols"/>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Noto Sans Symbols" w:eastAsia="Noto Sans Symbols" w:hAnsi="Noto Sans Symbols" w:cs="Noto Sans Symbols"/>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747039D"/>
    <w:multiLevelType w:val="multilevel"/>
    <w:tmpl w:val="8CA418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C894F5B"/>
    <w:multiLevelType w:val="multilevel"/>
    <w:tmpl w:val="25BABE7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Noto Sans Symbols" w:eastAsia="Noto Sans Symbols" w:hAnsi="Noto Sans Symbols" w:cs="Noto Sans Symbols"/>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Noto Sans Symbols" w:eastAsia="Noto Sans Symbols" w:hAnsi="Noto Sans Symbols" w:cs="Noto Sans Symbols"/>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Noto Sans Symbols" w:eastAsia="Noto Sans Symbols" w:hAnsi="Noto Sans Symbols" w:cs="Noto Sans Symbols"/>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1" w15:restartNumberingAfterBreak="0">
    <w:nsid w:val="2E511826"/>
    <w:multiLevelType w:val="multilevel"/>
    <w:tmpl w:val="48DC9B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3D66175"/>
    <w:multiLevelType w:val="multilevel"/>
    <w:tmpl w:val="214EF1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65B7B9D"/>
    <w:multiLevelType w:val="multilevel"/>
    <w:tmpl w:val="FDC88C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EC66EF6"/>
    <w:multiLevelType w:val="multilevel"/>
    <w:tmpl w:val="1FC89B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06A648C"/>
    <w:multiLevelType w:val="multilevel"/>
    <w:tmpl w:val="54DE28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BCE6B4F"/>
    <w:multiLevelType w:val="multilevel"/>
    <w:tmpl w:val="09204E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Noto Sans Symbols" w:eastAsia="Noto Sans Symbols" w:hAnsi="Noto Sans Symbols" w:cs="Noto Sans Symbols"/>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Noto Sans Symbols" w:eastAsia="Noto Sans Symbols" w:hAnsi="Noto Sans Symbols" w:cs="Noto Sans Symbols"/>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4D0628E7"/>
    <w:multiLevelType w:val="multilevel"/>
    <w:tmpl w:val="CB6C8F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614EBC"/>
    <w:multiLevelType w:val="multilevel"/>
    <w:tmpl w:val="AAAAEA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A110003"/>
    <w:multiLevelType w:val="multilevel"/>
    <w:tmpl w:val="5B7C330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20" w15:restartNumberingAfterBreak="0">
    <w:nsid w:val="5F447598"/>
    <w:multiLevelType w:val="multilevel"/>
    <w:tmpl w:val="41FEF7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3C423F8"/>
    <w:multiLevelType w:val="multilevel"/>
    <w:tmpl w:val="1C4AB8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4902866"/>
    <w:multiLevelType w:val="multilevel"/>
    <w:tmpl w:val="33FC9E5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Noto Sans Symbols" w:eastAsia="Noto Sans Symbols" w:hAnsi="Noto Sans Symbols" w:cs="Noto Sans Symbols"/>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Noto Sans Symbols" w:eastAsia="Noto Sans Symbols" w:hAnsi="Noto Sans Symbols" w:cs="Noto Sans Symbols"/>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Noto Sans Symbols" w:eastAsia="Noto Sans Symbols" w:hAnsi="Noto Sans Symbols" w:cs="Noto Sans Symbols"/>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3" w15:restartNumberingAfterBreak="0">
    <w:nsid w:val="65497190"/>
    <w:multiLevelType w:val="multilevel"/>
    <w:tmpl w:val="F56E05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C293E81"/>
    <w:multiLevelType w:val="multilevel"/>
    <w:tmpl w:val="549E85E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E840B79"/>
    <w:multiLevelType w:val="multilevel"/>
    <w:tmpl w:val="BB9CBE02"/>
    <w:lvl w:ilvl="0">
      <w:start w:val="4"/>
      <w:numFmt w:val="decimal"/>
      <w:lvlText w:val="%1."/>
      <w:lvlJc w:val="left"/>
      <w:pPr>
        <w:ind w:left="705" w:hanging="705"/>
      </w:pPr>
    </w:lvl>
    <w:lvl w:ilvl="1">
      <w:start w:val="5"/>
      <w:numFmt w:val="decimal"/>
      <w:lvlText w:val="%1.%2."/>
      <w:lvlJc w:val="left"/>
      <w:pPr>
        <w:ind w:left="825" w:hanging="705"/>
      </w:pPr>
    </w:lvl>
    <w:lvl w:ilvl="2">
      <w:start w:val="1"/>
      <w:numFmt w:val="decimal"/>
      <w:lvlText w:val="%1.%2.%3."/>
      <w:lvlJc w:val="left"/>
      <w:pPr>
        <w:ind w:left="960" w:hanging="720"/>
      </w:pPr>
    </w:lvl>
    <w:lvl w:ilvl="3">
      <w:start w:val="1"/>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26" w15:restartNumberingAfterBreak="0">
    <w:nsid w:val="70C33C3C"/>
    <w:multiLevelType w:val="multilevel"/>
    <w:tmpl w:val="040ECB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2352609"/>
    <w:multiLevelType w:val="multilevel"/>
    <w:tmpl w:val="A94E9FF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Noto Sans Symbols" w:eastAsia="Noto Sans Symbols" w:hAnsi="Noto Sans Symbols" w:cs="Noto Sans Symbols"/>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Noto Sans Symbols" w:eastAsia="Noto Sans Symbols" w:hAnsi="Noto Sans Symbols" w:cs="Noto Sans Symbols"/>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Noto Sans Symbols" w:eastAsia="Noto Sans Symbols" w:hAnsi="Noto Sans Symbols" w:cs="Noto Sans Symbols"/>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8" w15:restartNumberingAfterBreak="0">
    <w:nsid w:val="729341EA"/>
    <w:multiLevelType w:val="multilevel"/>
    <w:tmpl w:val="F65021F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 w15:restartNumberingAfterBreak="0">
    <w:nsid w:val="7E9448B4"/>
    <w:multiLevelType w:val="multilevel"/>
    <w:tmpl w:val="E1EEFB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FE246CF"/>
    <w:multiLevelType w:val="multilevel"/>
    <w:tmpl w:val="570A7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11"/>
  </w:num>
  <w:num w:numId="3">
    <w:abstractNumId w:val="5"/>
  </w:num>
  <w:num w:numId="4">
    <w:abstractNumId w:val="7"/>
  </w:num>
  <w:num w:numId="5">
    <w:abstractNumId w:val="2"/>
  </w:num>
  <w:num w:numId="6">
    <w:abstractNumId w:val="21"/>
  </w:num>
  <w:num w:numId="7">
    <w:abstractNumId w:val="23"/>
  </w:num>
  <w:num w:numId="8">
    <w:abstractNumId w:val="16"/>
  </w:num>
  <w:num w:numId="9">
    <w:abstractNumId w:val="8"/>
  </w:num>
  <w:num w:numId="10">
    <w:abstractNumId w:val="6"/>
  </w:num>
  <w:num w:numId="11">
    <w:abstractNumId w:val="0"/>
  </w:num>
  <w:num w:numId="12">
    <w:abstractNumId w:val="20"/>
  </w:num>
  <w:num w:numId="13">
    <w:abstractNumId w:val="30"/>
  </w:num>
  <w:num w:numId="14">
    <w:abstractNumId w:val="14"/>
  </w:num>
  <w:num w:numId="15">
    <w:abstractNumId w:val="3"/>
  </w:num>
  <w:num w:numId="16">
    <w:abstractNumId w:val="13"/>
  </w:num>
  <w:num w:numId="17">
    <w:abstractNumId w:val="9"/>
  </w:num>
  <w:num w:numId="18">
    <w:abstractNumId w:val="19"/>
  </w:num>
  <w:num w:numId="19">
    <w:abstractNumId w:val="26"/>
  </w:num>
  <w:num w:numId="20">
    <w:abstractNumId w:val="27"/>
  </w:num>
  <w:num w:numId="21">
    <w:abstractNumId w:val="10"/>
  </w:num>
  <w:num w:numId="22">
    <w:abstractNumId w:val="17"/>
  </w:num>
  <w:num w:numId="23">
    <w:abstractNumId w:val="4"/>
  </w:num>
  <w:num w:numId="24">
    <w:abstractNumId w:val="12"/>
  </w:num>
  <w:num w:numId="25">
    <w:abstractNumId w:val="22"/>
  </w:num>
  <w:num w:numId="26">
    <w:abstractNumId w:val="29"/>
  </w:num>
  <w:num w:numId="27">
    <w:abstractNumId w:val="15"/>
  </w:num>
  <w:num w:numId="28">
    <w:abstractNumId w:val="28"/>
  </w:num>
  <w:num w:numId="29">
    <w:abstractNumId w:val="18"/>
  </w:num>
  <w:num w:numId="30">
    <w:abstractNumId w:val="25"/>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A2"/>
    <w:rsid w:val="001024B0"/>
    <w:rsid w:val="006350B3"/>
    <w:rsid w:val="00C301A2"/>
    <w:rsid w:val="00CB6C4A"/>
    <w:rsid w:val="00D43C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831AF"/>
  <w15:docId w15:val="{C082C2D9-888F-487C-ADDC-1B8AF6774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HAnsi" w:hAnsiTheme="minorHAnsi" w:cstheme="minorBidi"/>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a">
    <w:name w:val="Горен колонтитул Знак"/>
    <w:basedOn w:val="DefaultParagraphFont"/>
    <w:uiPriority w:val="99"/>
    <w:qFormat/>
    <w:rsid w:val="00224697"/>
  </w:style>
  <w:style w:type="character" w:customStyle="1" w:styleId="a0">
    <w:name w:val="Долен колонтитул Знак"/>
    <w:basedOn w:val="DefaultParagraphFont"/>
    <w:uiPriority w:val="99"/>
    <w:qFormat/>
    <w:rsid w:val="00224697"/>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eastAsia="Calibri" w:cs="Calibri"/>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styleId="CommentReference">
    <w:name w:val="annotation reference"/>
    <w:basedOn w:val="DefaultParagraphFont"/>
    <w:uiPriority w:val="99"/>
    <w:semiHidden/>
    <w:unhideWhenUsed/>
    <w:qFormat/>
    <w:rsid w:val="00D41895"/>
    <w:rPr>
      <w:sz w:val="16"/>
      <w:szCs w:val="16"/>
    </w:rPr>
  </w:style>
  <w:style w:type="character" w:customStyle="1" w:styleId="a1">
    <w:name w:val="Текст на коментар Знак"/>
    <w:basedOn w:val="DefaultParagraphFont"/>
    <w:uiPriority w:val="99"/>
    <w:qFormat/>
    <w:rsid w:val="00D41895"/>
    <w:rPr>
      <w:sz w:val="20"/>
      <w:szCs w:val="20"/>
    </w:rPr>
  </w:style>
  <w:style w:type="character" w:customStyle="1" w:styleId="a2">
    <w:name w:val="Предмет на коментар Знак"/>
    <w:basedOn w:val="a1"/>
    <w:uiPriority w:val="99"/>
    <w:semiHidden/>
    <w:qFormat/>
    <w:rsid w:val="00D41895"/>
    <w:rPr>
      <w:b/>
      <w:bCs/>
      <w:sz w:val="20"/>
      <w:szCs w:val="20"/>
    </w:rPr>
  </w:style>
  <w:style w:type="character" w:customStyle="1" w:styleId="InternetLink">
    <w:name w:val="Internet Link"/>
    <w:basedOn w:val="DefaultParagraphFont"/>
    <w:uiPriority w:val="99"/>
    <w:unhideWhenUsed/>
    <w:rsid w:val="00043743"/>
    <w:rPr>
      <w:color w:val="0563C1" w:themeColor="hyperlink"/>
      <w:u w:val="single"/>
    </w:rPr>
  </w:style>
  <w:style w:type="character" w:customStyle="1" w:styleId="UnresolvedMention1">
    <w:name w:val="Unresolved Mention1"/>
    <w:basedOn w:val="DefaultParagraphFont"/>
    <w:uiPriority w:val="99"/>
    <w:semiHidden/>
    <w:unhideWhenUsed/>
    <w:qFormat/>
    <w:rsid w:val="00FC3F33"/>
    <w:rPr>
      <w:color w:val="605E5C"/>
      <w:shd w:val="clear" w:color="auto" w:fill="E1DFDD"/>
    </w:rPr>
  </w:style>
  <w:style w:type="character" w:customStyle="1" w:styleId="ListLabel59">
    <w:name w:val="ListLabel 59"/>
    <w:qFormat/>
    <w:rPr>
      <w:rFonts w:ascii="Palatino Linotype" w:hAnsi="Palatino Linotype"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ascii="Palatino Linotype" w:hAnsi="Palatino Linotype" w:cs="Wingdings"/>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ascii="Palatino Linotype" w:hAnsi="Palatino Linotype" w:cs="Wingdings"/>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ascii="Palatino Linotype" w:hAnsi="Palatino Linotype" w:cs="Wingdings"/>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ascii="Palatino Linotype" w:hAnsi="Palatino Linotype" w:cs="Wingdings"/>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ascii="Palatino Linotype" w:hAnsi="Palatino Linotype" w:cs="Wingdings"/>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ascii="Palatino Linotype" w:hAnsi="Palatino Linotype" w:cs="Wingdings"/>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ascii="Palatino Linotype" w:hAnsi="Palatino Linotype" w:cs="Wingdings"/>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ascii="Palatino Linotype" w:hAnsi="Palatino Linotype" w:cs="Wingdings"/>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ascii="Palatino Linotype" w:hAnsi="Palatino Linotype" w:cs="Wingdings"/>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ascii="Palatino Linotype" w:hAnsi="Palatino Linotype" w:cs="Wingdings"/>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ascii="Palatino Linotype" w:hAnsi="Palatino Linotype" w:cs="Wingdings"/>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ascii="Palatino Linotype" w:hAnsi="Palatino Linotype" w:cs="Wingdings"/>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ascii="Palatino Linotype" w:hAnsi="Palatino Linotype" w:cs="Wingdings"/>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ascii="Palatino Linotype" w:hAnsi="Palatino Linotype" w:cs="Wingdings"/>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Courier New"/>
    </w:rPr>
  </w:style>
  <w:style w:type="character" w:customStyle="1" w:styleId="ListLabel195">
    <w:name w:val="ListLabel 195"/>
    <w:qFormat/>
    <w:rPr>
      <w:rFonts w:cs="Courier New"/>
    </w:rPr>
  </w:style>
  <w:style w:type="character" w:customStyle="1" w:styleId="ListLabel196">
    <w:name w:val="ListLabel 196"/>
    <w:qFormat/>
    <w:rPr>
      <w:rFonts w:cs="Courier New"/>
    </w:rPr>
  </w:style>
  <w:style w:type="character" w:customStyle="1" w:styleId="ListLabel197">
    <w:name w:val="ListLabel 197"/>
    <w:qFormat/>
    <w:rPr>
      <w:rFonts w:eastAsia="Calibri" w:cs="Times New Roman"/>
    </w:rPr>
  </w:style>
  <w:style w:type="character" w:customStyle="1" w:styleId="ListLabel198">
    <w:name w:val="ListLabel 198"/>
    <w:qFormat/>
    <w:rPr>
      <w:rFonts w:cs="Courier New"/>
    </w:rPr>
  </w:style>
  <w:style w:type="character" w:customStyle="1" w:styleId="ListLabel199">
    <w:name w:val="ListLabel 199"/>
    <w:qFormat/>
    <w:rPr>
      <w:rFonts w:cs="Courier New"/>
    </w:rPr>
  </w:style>
  <w:style w:type="character" w:customStyle="1" w:styleId="ListLabel200">
    <w:name w:val="ListLabel 200"/>
    <w:qFormat/>
    <w:rPr>
      <w:rFonts w:cs="Courier New"/>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rFonts w:cs="Courier New"/>
    </w:rPr>
  </w:style>
  <w:style w:type="character" w:customStyle="1" w:styleId="ListLabel205">
    <w:name w:val="ListLabel 205"/>
    <w:qFormat/>
    <w:rPr>
      <w:rFonts w:cs="Courier New"/>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cs="Courier New"/>
    </w:rPr>
  </w:style>
  <w:style w:type="character" w:customStyle="1" w:styleId="ListLabel213">
    <w:name w:val="ListLabel 213"/>
    <w:qFormat/>
    <w:rPr>
      <w:rFonts w:cs="Courier New"/>
    </w:rPr>
  </w:style>
  <w:style w:type="character" w:customStyle="1" w:styleId="ListLabel214">
    <w:name w:val="ListLabel 214"/>
    <w:qFormat/>
    <w:rPr>
      <w:rFonts w:cs="Courier New"/>
    </w:rPr>
  </w:style>
  <w:style w:type="character" w:customStyle="1" w:styleId="ListLabel215">
    <w:name w:val="ListLabel 215"/>
    <w:qFormat/>
    <w:rPr>
      <w:rFonts w:cs="Courier New"/>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cs="Courier New"/>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cs="Courier New"/>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Courier New"/>
    </w:rPr>
  </w:style>
  <w:style w:type="character" w:customStyle="1" w:styleId="ListLabel228">
    <w:name w:val="ListLabel 228"/>
    <w:qFormat/>
    <w:rPr>
      <w:rFonts w:cs="Courier New"/>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cs="Courier New"/>
    </w:rPr>
  </w:style>
  <w:style w:type="character" w:customStyle="1" w:styleId="ListLabel233">
    <w:name w:val="ListLabel 233"/>
    <w:qFormat/>
    <w:rPr>
      <w:rFonts w:ascii="Palatino Linotype" w:hAnsi="Palatino Linotype"/>
      <w:u w:val="none"/>
    </w:rPr>
  </w:style>
  <w:style w:type="character" w:customStyle="1" w:styleId="ListLabel234">
    <w:name w:val="ListLabel 234"/>
    <w:qFormat/>
    <w:rPr>
      <w:u w:val="none"/>
    </w:rPr>
  </w:style>
  <w:style w:type="character" w:customStyle="1" w:styleId="ListLabel235">
    <w:name w:val="ListLabel 235"/>
    <w:qFormat/>
    <w:rPr>
      <w:u w:val="none"/>
    </w:rPr>
  </w:style>
  <w:style w:type="character" w:customStyle="1" w:styleId="ListLabel236">
    <w:name w:val="ListLabel 236"/>
    <w:qFormat/>
    <w:rPr>
      <w:u w:val="none"/>
    </w:rPr>
  </w:style>
  <w:style w:type="character" w:customStyle="1" w:styleId="ListLabel237">
    <w:name w:val="ListLabel 237"/>
    <w:qFormat/>
    <w:rPr>
      <w:u w:val="none"/>
    </w:rPr>
  </w:style>
  <w:style w:type="character" w:customStyle="1" w:styleId="ListLabel238">
    <w:name w:val="ListLabel 238"/>
    <w:qFormat/>
    <w:rPr>
      <w:u w:val="none"/>
    </w:rPr>
  </w:style>
  <w:style w:type="character" w:customStyle="1" w:styleId="ListLabel239">
    <w:name w:val="ListLabel 239"/>
    <w:qFormat/>
    <w:rPr>
      <w:u w:val="none"/>
    </w:rPr>
  </w:style>
  <w:style w:type="character" w:customStyle="1" w:styleId="ListLabel240">
    <w:name w:val="ListLabel 240"/>
    <w:qFormat/>
    <w:rPr>
      <w:u w:val="none"/>
    </w:rPr>
  </w:style>
  <w:style w:type="character" w:customStyle="1" w:styleId="ListLabel241">
    <w:name w:val="ListLabel 241"/>
    <w:qFormat/>
    <w:rPr>
      <w:u w:val="none"/>
    </w:rPr>
  </w:style>
  <w:style w:type="character" w:customStyle="1" w:styleId="ListLabel242">
    <w:name w:val="ListLabel 242"/>
    <w:qFormat/>
    <w:rPr>
      <w:rFonts w:ascii="Palatino Linotype" w:eastAsia="Noto Sans Symbols" w:hAnsi="Palatino Linotype" w:cs="Noto Sans Symbols"/>
    </w:rPr>
  </w:style>
  <w:style w:type="character" w:customStyle="1" w:styleId="ListLabel243">
    <w:name w:val="ListLabel 243"/>
    <w:qFormat/>
    <w:rPr>
      <w:rFonts w:eastAsia="Noto Sans Symbols" w:cs="Noto Sans Symbols"/>
    </w:rPr>
  </w:style>
  <w:style w:type="character" w:customStyle="1" w:styleId="ListLabel244">
    <w:name w:val="ListLabel 244"/>
    <w:qFormat/>
    <w:rPr>
      <w:rFonts w:eastAsia="Noto Sans Symbols" w:cs="Noto Sans Symbols"/>
    </w:rPr>
  </w:style>
  <w:style w:type="character" w:customStyle="1" w:styleId="ListLabel245">
    <w:name w:val="ListLabel 245"/>
    <w:qFormat/>
    <w:rPr>
      <w:rFonts w:eastAsia="Noto Sans Symbols" w:cs="Noto Sans Symbols"/>
    </w:rPr>
  </w:style>
  <w:style w:type="character" w:customStyle="1" w:styleId="ListLabel246">
    <w:name w:val="ListLabel 246"/>
    <w:qFormat/>
    <w:rPr>
      <w:rFonts w:eastAsia="Noto Sans Symbols" w:cs="Noto Sans Symbols"/>
    </w:rPr>
  </w:style>
  <w:style w:type="character" w:customStyle="1" w:styleId="ListLabel247">
    <w:name w:val="ListLabel 247"/>
    <w:qFormat/>
    <w:rPr>
      <w:rFonts w:eastAsia="Noto Sans Symbols" w:cs="Noto Sans Symbols"/>
    </w:rPr>
  </w:style>
  <w:style w:type="character" w:customStyle="1" w:styleId="ListLabel248">
    <w:name w:val="ListLabel 248"/>
    <w:qFormat/>
    <w:rPr>
      <w:rFonts w:ascii="Palatino Linotype" w:eastAsia="Noto Sans Symbols" w:hAnsi="Palatino Linotype" w:cs="Noto Sans Symbols"/>
    </w:rPr>
  </w:style>
  <w:style w:type="character" w:customStyle="1" w:styleId="ListLabel249">
    <w:name w:val="ListLabel 249"/>
    <w:qFormat/>
    <w:rPr>
      <w:rFonts w:eastAsia="Noto Sans Symbols" w:cs="Noto Sans Symbols"/>
    </w:rPr>
  </w:style>
  <w:style w:type="character" w:customStyle="1" w:styleId="ListLabel250">
    <w:name w:val="ListLabel 250"/>
    <w:qFormat/>
    <w:rPr>
      <w:rFonts w:eastAsia="Noto Sans Symbols" w:cs="Noto Sans Symbols"/>
    </w:rPr>
  </w:style>
  <w:style w:type="character" w:customStyle="1" w:styleId="ListLabel251">
    <w:name w:val="ListLabel 251"/>
    <w:qFormat/>
    <w:rPr>
      <w:rFonts w:eastAsia="Noto Sans Symbols" w:cs="Noto Sans Symbols"/>
    </w:rPr>
  </w:style>
  <w:style w:type="character" w:customStyle="1" w:styleId="ListLabel252">
    <w:name w:val="ListLabel 252"/>
    <w:qFormat/>
    <w:rPr>
      <w:rFonts w:eastAsia="Noto Sans Symbols" w:cs="Noto Sans Symbols"/>
    </w:rPr>
  </w:style>
  <w:style w:type="character" w:customStyle="1" w:styleId="ListLabel253">
    <w:name w:val="ListLabel 253"/>
    <w:qFormat/>
    <w:rPr>
      <w:rFonts w:eastAsia="Noto Sans Symbols" w:cs="Noto Sans Symbols"/>
    </w:rPr>
  </w:style>
  <w:style w:type="character" w:customStyle="1" w:styleId="ListLabel254">
    <w:name w:val="ListLabel 254"/>
    <w:qFormat/>
    <w:rPr>
      <w:rFonts w:ascii="Palatino Linotype" w:eastAsia="Noto Sans Symbols" w:hAnsi="Palatino Linotype" w:cs="Noto Sans Symbols"/>
    </w:rPr>
  </w:style>
  <w:style w:type="character" w:customStyle="1" w:styleId="ListLabel255">
    <w:name w:val="ListLabel 255"/>
    <w:qFormat/>
    <w:rPr>
      <w:rFonts w:eastAsia="Noto Sans Symbols" w:cs="Noto Sans Symbols"/>
    </w:rPr>
  </w:style>
  <w:style w:type="character" w:customStyle="1" w:styleId="ListLabel256">
    <w:name w:val="ListLabel 256"/>
    <w:qFormat/>
    <w:rPr>
      <w:rFonts w:eastAsia="Noto Sans Symbols" w:cs="Noto Sans Symbols"/>
    </w:rPr>
  </w:style>
  <w:style w:type="character" w:customStyle="1" w:styleId="ListLabel257">
    <w:name w:val="ListLabel 257"/>
    <w:qFormat/>
    <w:rPr>
      <w:rFonts w:eastAsia="Noto Sans Symbols" w:cs="Noto Sans Symbols"/>
    </w:rPr>
  </w:style>
  <w:style w:type="character" w:customStyle="1" w:styleId="ListLabel258">
    <w:name w:val="ListLabel 258"/>
    <w:qFormat/>
    <w:rPr>
      <w:rFonts w:eastAsia="Noto Sans Symbols" w:cs="Noto Sans Symbols"/>
    </w:rPr>
  </w:style>
  <w:style w:type="character" w:customStyle="1" w:styleId="ListLabel259">
    <w:name w:val="ListLabel 259"/>
    <w:qFormat/>
    <w:rPr>
      <w:rFonts w:eastAsia="Noto Sans Symbols" w:cs="Noto Sans Symbols"/>
    </w:rPr>
  </w:style>
  <w:style w:type="character" w:customStyle="1" w:styleId="ListLabel260">
    <w:name w:val="ListLabel 260"/>
    <w:qFormat/>
    <w:rPr>
      <w:rFonts w:ascii="Palatino Linotype" w:eastAsia="Noto Sans Symbols" w:hAnsi="Palatino Linotype" w:cs="Noto Sans Symbols"/>
    </w:rPr>
  </w:style>
  <w:style w:type="character" w:customStyle="1" w:styleId="ListLabel261">
    <w:name w:val="ListLabel 261"/>
    <w:qFormat/>
    <w:rPr>
      <w:rFonts w:eastAsia="Noto Sans Symbols" w:cs="Noto Sans Symbols"/>
    </w:rPr>
  </w:style>
  <w:style w:type="character" w:customStyle="1" w:styleId="ListLabel262">
    <w:name w:val="ListLabel 262"/>
    <w:qFormat/>
    <w:rPr>
      <w:rFonts w:eastAsia="Noto Sans Symbols" w:cs="Noto Sans Symbols"/>
    </w:rPr>
  </w:style>
  <w:style w:type="character" w:customStyle="1" w:styleId="ListLabel263">
    <w:name w:val="ListLabel 263"/>
    <w:qFormat/>
    <w:rPr>
      <w:rFonts w:eastAsia="Noto Sans Symbols" w:cs="Noto Sans Symbols"/>
    </w:rPr>
  </w:style>
  <w:style w:type="character" w:customStyle="1" w:styleId="ListLabel264">
    <w:name w:val="ListLabel 264"/>
    <w:qFormat/>
    <w:rPr>
      <w:rFonts w:eastAsia="Noto Sans Symbols" w:cs="Noto Sans Symbols"/>
    </w:rPr>
  </w:style>
  <w:style w:type="character" w:customStyle="1" w:styleId="ListLabel265">
    <w:name w:val="ListLabel 265"/>
    <w:qFormat/>
    <w:rPr>
      <w:rFonts w:eastAsia="Noto Sans Symbols" w:cs="Noto Sans Symbols"/>
    </w:rPr>
  </w:style>
  <w:style w:type="character" w:customStyle="1" w:styleId="ListLabel266">
    <w:name w:val="ListLabel 266"/>
    <w:qFormat/>
    <w:rPr>
      <w:rFonts w:eastAsia="Noto Sans Symbols" w:cs="Noto Sans Symbols"/>
    </w:rPr>
  </w:style>
  <w:style w:type="character" w:customStyle="1" w:styleId="ListLabel267">
    <w:name w:val="ListLabel 267"/>
    <w:qFormat/>
    <w:rPr>
      <w:rFonts w:ascii="Palatino Linotype" w:eastAsia="Noto Sans Symbols" w:hAnsi="Palatino Linotype" w:cs="Noto Sans Symbols"/>
    </w:rPr>
  </w:style>
  <w:style w:type="character" w:customStyle="1" w:styleId="ListLabel268">
    <w:name w:val="ListLabel 268"/>
    <w:qFormat/>
    <w:rPr>
      <w:rFonts w:eastAsia="Noto Sans Symbols" w:cs="Noto Sans Symbols"/>
    </w:rPr>
  </w:style>
  <w:style w:type="character" w:customStyle="1" w:styleId="ListLabel269">
    <w:name w:val="ListLabel 269"/>
    <w:qFormat/>
    <w:rPr>
      <w:rFonts w:eastAsia="Noto Sans Symbols" w:cs="Noto Sans Symbols"/>
    </w:rPr>
  </w:style>
  <w:style w:type="character" w:customStyle="1" w:styleId="ListLabel270">
    <w:name w:val="ListLabel 270"/>
    <w:qFormat/>
    <w:rPr>
      <w:rFonts w:eastAsia="Noto Sans Symbols" w:cs="Noto Sans Symbols"/>
    </w:rPr>
  </w:style>
  <w:style w:type="character" w:customStyle="1" w:styleId="ListLabel271">
    <w:name w:val="ListLabel 271"/>
    <w:qFormat/>
    <w:rPr>
      <w:rFonts w:eastAsia="Noto Sans Symbols" w:cs="Noto Sans Symbols"/>
    </w:rPr>
  </w:style>
  <w:style w:type="character" w:customStyle="1" w:styleId="ListLabel272">
    <w:name w:val="ListLabel 272"/>
    <w:qFormat/>
    <w:rPr>
      <w:rFonts w:eastAsia="Noto Sans Symbols" w:cs="Noto Sans Symbols"/>
    </w:rPr>
  </w:style>
  <w:style w:type="character" w:customStyle="1" w:styleId="ListLabel273">
    <w:name w:val="ListLabel 273"/>
    <w:qFormat/>
    <w:rPr>
      <w:rFonts w:ascii="Palatino Linotype" w:eastAsia="Noto Sans Symbols" w:hAnsi="Palatino Linotype" w:cs="Noto Sans Symbols"/>
    </w:rPr>
  </w:style>
  <w:style w:type="character" w:customStyle="1" w:styleId="ListLabel274">
    <w:name w:val="ListLabel 274"/>
    <w:qFormat/>
    <w:rPr>
      <w:rFonts w:eastAsia="Noto Sans Symbols" w:cs="Noto Sans Symbols"/>
    </w:rPr>
  </w:style>
  <w:style w:type="character" w:customStyle="1" w:styleId="ListLabel275">
    <w:name w:val="ListLabel 275"/>
    <w:qFormat/>
    <w:rPr>
      <w:rFonts w:eastAsia="Noto Sans Symbols" w:cs="Noto Sans Symbols"/>
    </w:rPr>
  </w:style>
  <w:style w:type="character" w:customStyle="1" w:styleId="ListLabel276">
    <w:name w:val="ListLabel 276"/>
    <w:qFormat/>
    <w:rPr>
      <w:rFonts w:eastAsia="Noto Sans Symbols" w:cs="Noto Sans Symbols"/>
    </w:rPr>
  </w:style>
  <w:style w:type="character" w:customStyle="1" w:styleId="ListLabel277">
    <w:name w:val="ListLabel 277"/>
    <w:qFormat/>
    <w:rPr>
      <w:rFonts w:eastAsia="Noto Sans Symbols" w:cs="Noto Sans Symbols"/>
    </w:rPr>
  </w:style>
  <w:style w:type="character" w:customStyle="1" w:styleId="ListLabel278">
    <w:name w:val="ListLabel 278"/>
    <w:qFormat/>
    <w:rPr>
      <w:rFonts w:eastAsia="Noto Sans Symbols" w:cs="Noto Sans Symbols"/>
    </w:rPr>
  </w:style>
  <w:style w:type="character" w:customStyle="1" w:styleId="ListLabel279">
    <w:name w:val="ListLabel 279"/>
    <w:qFormat/>
    <w:rPr>
      <w:rFonts w:ascii="Palatino Linotype" w:eastAsia="Noto Sans Symbols" w:hAnsi="Palatino Linotype" w:cs="Noto Sans Symbols"/>
    </w:rPr>
  </w:style>
  <w:style w:type="character" w:customStyle="1" w:styleId="ListLabel280">
    <w:name w:val="ListLabel 280"/>
    <w:qFormat/>
    <w:rPr>
      <w:rFonts w:eastAsia="Noto Sans Symbols" w:cs="Noto Sans Symbols"/>
    </w:rPr>
  </w:style>
  <w:style w:type="character" w:customStyle="1" w:styleId="ListLabel281">
    <w:name w:val="ListLabel 281"/>
    <w:qFormat/>
    <w:rPr>
      <w:rFonts w:eastAsia="Noto Sans Symbols" w:cs="Noto Sans Symbols"/>
    </w:rPr>
  </w:style>
  <w:style w:type="character" w:customStyle="1" w:styleId="ListLabel282">
    <w:name w:val="ListLabel 282"/>
    <w:qFormat/>
    <w:rPr>
      <w:rFonts w:eastAsia="Noto Sans Symbols" w:cs="Noto Sans Symbols"/>
    </w:rPr>
  </w:style>
  <w:style w:type="character" w:customStyle="1" w:styleId="ListLabel283">
    <w:name w:val="ListLabel 283"/>
    <w:qFormat/>
    <w:rPr>
      <w:rFonts w:eastAsia="Noto Sans Symbols" w:cs="Noto Sans Symbols"/>
    </w:rPr>
  </w:style>
  <w:style w:type="character" w:customStyle="1" w:styleId="ListLabel284">
    <w:name w:val="ListLabel 284"/>
    <w:qFormat/>
    <w:rPr>
      <w:rFonts w:eastAsia="Noto Sans Symbols" w:cs="Noto Sans Symbols"/>
    </w:rPr>
  </w:style>
  <w:style w:type="character" w:customStyle="1" w:styleId="ListLabel285">
    <w:name w:val="ListLabel 285"/>
    <w:qFormat/>
    <w:rPr>
      <w:rFonts w:ascii="Palatino Linotype" w:eastAsia="Noto Sans Symbols" w:hAnsi="Palatino Linotype" w:cs="Noto Sans Symbols"/>
    </w:rPr>
  </w:style>
  <w:style w:type="character" w:customStyle="1" w:styleId="ListLabel286">
    <w:name w:val="ListLabel 286"/>
    <w:qFormat/>
    <w:rPr>
      <w:rFonts w:eastAsia="Noto Sans Symbols" w:cs="Noto Sans Symbols"/>
    </w:rPr>
  </w:style>
  <w:style w:type="character" w:customStyle="1" w:styleId="ListLabel287">
    <w:name w:val="ListLabel 287"/>
    <w:qFormat/>
    <w:rPr>
      <w:rFonts w:eastAsia="Noto Sans Symbols" w:cs="Noto Sans Symbols"/>
    </w:rPr>
  </w:style>
  <w:style w:type="character" w:customStyle="1" w:styleId="ListLabel288">
    <w:name w:val="ListLabel 288"/>
    <w:qFormat/>
    <w:rPr>
      <w:rFonts w:eastAsia="Noto Sans Symbols" w:cs="Noto Sans Symbols"/>
    </w:rPr>
  </w:style>
  <w:style w:type="character" w:customStyle="1" w:styleId="ListLabel289">
    <w:name w:val="ListLabel 289"/>
    <w:qFormat/>
    <w:rPr>
      <w:rFonts w:eastAsia="Noto Sans Symbols" w:cs="Noto Sans Symbols"/>
    </w:rPr>
  </w:style>
  <w:style w:type="character" w:customStyle="1" w:styleId="ListLabel290">
    <w:name w:val="ListLabel 290"/>
    <w:qFormat/>
    <w:rPr>
      <w:rFonts w:eastAsia="Noto Sans Symbols" w:cs="Noto Sans Symbols"/>
    </w:rPr>
  </w:style>
  <w:style w:type="character" w:customStyle="1" w:styleId="ListLabel291">
    <w:name w:val="ListLabel 291"/>
    <w:qFormat/>
    <w:rPr>
      <w:rFonts w:ascii="Palatino Linotype" w:eastAsia="Noto Sans Symbols" w:hAnsi="Palatino Linotype" w:cs="Noto Sans Symbols"/>
    </w:rPr>
  </w:style>
  <w:style w:type="character" w:customStyle="1" w:styleId="ListLabel292">
    <w:name w:val="ListLabel 292"/>
    <w:qFormat/>
    <w:rPr>
      <w:rFonts w:eastAsia="Noto Sans Symbols" w:cs="Noto Sans Symbols"/>
    </w:rPr>
  </w:style>
  <w:style w:type="character" w:customStyle="1" w:styleId="ListLabel293">
    <w:name w:val="ListLabel 293"/>
    <w:qFormat/>
    <w:rPr>
      <w:rFonts w:eastAsia="Noto Sans Symbols" w:cs="Noto Sans Symbols"/>
    </w:rPr>
  </w:style>
  <w:style w:type="character" w:customStyle="1" w:styleId="ListLabel294">
    <w:name w:val="ListLabel 294"/>
    <w:qFormat/>
    <w:rPr>
      <w:rFonts w:eastAsia="Noto Sans Symbols" w:cs="Noto Sans Symbols"/>
    </w:rPr>
  </w:style>
  <w:style w:type="character" w:customStyle="1" w:styleId="ListLabel295">
    <w:name w:val="ListLabel 295"/>
    <w:qFormat/>
    <w:rPr>
      <w:rFonts w:eastAsia="Noto Sans Symbols" w:cs="Noto Sans Symbols"/>
    </w:rPr>
  </w:style>
  <w:style w:type="character" w:customStyle="1" w:styleId="ListLabel296">
    <w:name w:val="ListLabel 296"/>
    <w:qFormat/>
    <w:rPr>
      <w:rFonts w:eastAsia="Noto Sans Symbols" w:cs="Noto Sans Symbols"/>
    </w:rPr>
  </w:style>
  <w:style w:type="character" w:customStyle="1" w:styleId="ListLabel297">
    <w:name w:val="ListLabel 297"/>
    <w:qFormat/>
    <w:rPr>
      <w:rFonts w:ascii="Palatino Linotype" w:eastAsia="Noto Sans Symbols" w:hAnsi="Palatino Linotype" w:cs="Noto Sans Symbols"/>
    </w:rPr>
  </w:style>
  <w:style w:type="character" w:customStyle="1" w:styleId="ListLabel298">
    <w:name w:val="ListLabel 298"/>
    <w:qFormat/>
    <w:rPr>
      <w:rFonts w:eastAsia="Noto Sans Symbols" w:cs="Noto Sans Symbols"/>
    </w:rPr>
  </w:style>
  <w:style w:type="character" w:customStyle="1" w:styleId="ListLabel299">
    <w:name w:val="ListLabel 299"/>
    <w:qFormat/>
    <w:rPr>
      <w:rFonts w:eastAsia="Noto Sans Symbols" w:cs="Noto Sans Symbols"/>
    </w:rPr>
  </w:style>
  <w:style w:type="character" w:customStyle="1" w:styleId="ListLabel300">
    <w:name w:val="ListLabel 300"/>
    <w:qFormat/>
    <w:rPr>
      <w:rFonts w:eastAsia="Noto Sans Symbols" w:cs="Noto Sans Symbols"/>
    </w:rPr>
  </w:style>
  <w:style w:type="character" w:customStyle="1" w:styleId="ListLabel301">
    <w:name w:val="ListLabel 301"/>
    <w:qFormat/>
    <w:rPr>
      <w:rFonts w:eastAsia="Noto Sans Symbols" w:cs="Noto Sans Symbols"/>
    </w:rPr>
  </w:style>
  <w:style w:type="character" w:customStyle="1" w:styleId="ListLabel302">
    <w:name w:val="ListLabel 302"/>
    <w:qFormat/>
    <w:rPr>
      <w:rFonts w:eastAsia="Noto Sans Symbols" w:cs="Noto Sans Symbols"/>
    </w:rPr>
  </w:style>
  <w:style w:type="character" w:customStyle="1" w:styleId="ListLabel303">
    <w:name w:val="ListLabel 303"/>
    <w:qFormat/>
    <w:rPr>
      <w:rFonts w:ascii="Palatino Linotype" w:eastAsia="Noto Sans Symbols" w:hAnsi="Palatino Linotype" w:cs="Noto Sans Symbols"/>
    </w:rPr>
  </w:style>
  <w:style w:type="character" w:customStyle="1" w:styleId="ListLabel304">
    <w:name w:val="ListLabel 304"/>
    <w:qFormat/>
    <w:rPr>
      <w:rFonts w:eastAsia="Noto Sans Symbols" w:cs="Noto Sans Symbols"/>
    </w:rPr>
  </w:style>
  <w:style w:type="character" w:customStyle="1" w:styleId="ListLabel305">
    <w:name w:val="ListLabel 305"/>
    <w:qFormat/>
    <w:rPr>
      <w:rFonts w:eastAsia="Noto Sans Symbols" w:cs="Noto Sans Symbols"/>
    </w:rPr>
  </w:style>
  <w:style w:type="character" w:customStyle="1" w:styleId="ListLabel306">
    <w:name w:val="ListLabel 306"/>
    <w:qFormat/>
    <w:rPr>
      <w:rFonts w:eastAsia="Noto Sans Symbols" w:cs="Noto Sans Symbols"/>
    </w:rPr>
  </w:style>
  <w:style w:type="character" w:customStyle="1" w:styleId="ListLabel307">
    <w:name w:val="ListLabel 307"/>
    <w:qFormat/>
    <w:rPr>
      <w:rFonts w:eastAsia="Noto Sans Symbols" w:cs="Noto Sans Symbols"/>
    </w:rPr>
  </w:style>
  <w:style w:type="character" w:customStyle="1" w:styleId="ListLabel308">
    <w:name w:val="ListLabel 308"/>
    <w:qFormat/>
    <w:rPr>
      <w:rFonts w:eastAsia="Noto Sans Symbols" w:cs="Noto Sans Symbols"/>
    </w:rPr>
  </w:style>
  <w:style w:type="character" w:customStyle="1" w:styleId="ListLabel309">
    <w:name w:val="ListLabel 309"/>
    <w:qFormat/>
    <w:rPr>
      <w:rFonts w:cs="Courier New"/>
    </w:rPr>
  </w:style>
  <w:style w:type="character" w:customStyle="1" w:styleId="ListLabel310">
    <w:name w:val="ListLabel 310"/>
    <w:qFormat/>
    <w:rPr>
      <w:rFonts w:cs="Courier New"/>
    </w:rPr>
  </w:style>
  <w:style w:type="character" w:customStyle="1" w:styleId="ListLabel311">
    <w:name w:val="ListLabel 311"/>
    <w:qFormat/>
    <w:rPr>
      <w:rFonts w:cs="Courier New"/>
    </w:rPr>
  </w:style>
  <w:style w:type="character" w:customStyle="1" w:styleId="ListLabel312">
    <w:name w:val="ListLabel 312"/>
    <w:qFormat/>
    <w:rPr>
      <w:rFonts w:cs="Courier New"/>
    </w:rPr>
  </w:style>
  <w:style w:type="character" w:customStyle="1" w:styleId="ListLabel313">
    <w:name w:val="ListLabel 313"/>
    <w:qFormat/>
    <w:rPr>
      <w:rFonts w:cs="Courier New"/>
    </w:rPr>
  </w:style>
  <w:style w:type="character" w:customStyle="1" w:styleId="ListLabel314">
    <w:name w:val="ListLabel 314"/>
    <w:qFormat/>
    <w:rPr>
      <w:rFonts w:cs="Courier New"/>
    </w:rPr>
  </w:style>
  <w:style w:type="paragraph" w:customStyle="1" w:styleId="Heading">
    <w:name w:val="Heading"/>
    <w:basedOn w:val="Normal"/>
    <w:next w:val="TextBody"/>
    <w:qFormat/>
    <w:pPr>
      <w:keepNext/>
      <w:spacing w:before="240" w:after="120"/>
    </w:pPr>
    <w:rPr>
      <w:rFonts w:ascii="Liberation Sans" w:eastAsia="Microsoft YaHei" w:hAnsi="Liberation Sans" w:cs="Lucida 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34"/>
    <w:qFormat/>
    <w:rsid w:val="00C148A9"/>
    <w:pPr>
      <w:ind w:left="720"/>
      <w:contextualSpacing/>
    </w:pPr>
  </w:style>
  <w:style w:type="paragraph" w:styleId="Header">
    <w:name w:val="header"/>
    <w:basedOn w:val="Normal"/>
    <w:uiPriority w:val="99"/>
    <w:unhideWhenUsed/>
    <w:rsid w:val="00224697"/>
    <w:pPr>
      <w:tabs>
        <w:tab w:val="center" w:pos="4536"/>
        <w:tab w:val="right" w:pos="9072"/>
      </w:tabs>
      <w:spacing w:after="0" w:line="240" w:lineRule="auto"/>
    </w:pPr>
  </w:style>
  <w:style w:type="paragraph" w:styleId="Footer">
    <w:name w:val="footer"/>
    <w:basedOn w:val="Normal"/>
    <w:uiPriority w:val="99"/>
    <w:unhideWhenUsed/>
    <w:rsid w:val="00224697"/>
    <w:pPr>
      <w:tabs>
        <w:tab w:val="center" w:pos="4536"/>
        <w:tab w:val="right" w:pos="9072"/>
      </w:tabs>
      <w:spacing w:after="0" w:line="240" w:lineRule="auto"/>
    </w:pPr>
  </w:style>
  <w:style w:type="paragraph" w:styleId="CommentText">
    <w:name w:val="annotation text"/>
    <w:basedOn w:val="Normal"/>
    <w:uiPriority w:val="99"/>
    <w:unhideWhenUsed/>
    <w:qFormat/>
    <w:rsid w:val="00D41895"/>
    <w:pPr>
      <w:spacing w:line="240" w:lineRule="auto"/>
    </w:pPr>
    <w:rPr>
      <w:sz w:val="20"/>
      <w:szCs w:val="20"/>
    </w:rPr>
  </w:style>
  <w:style w:type="paragraph" w:styleId="CommentSubject">
    <w:name w:val="annotation subject"/>
    <w:basedOn w:val="CommentText"/>
    <w:uiPriority w:val="99"/>
    <w:semiHidden/>
    <w:unhideWhenUsed/>
    <w:qFormat/>
    <w:rsid w:val="00D41895"/>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uiPriority w:val="99"/>
    <w:semiHidden/>
    <w:qFormat/>
    <w:rsid w:val="007C7913"/>
    <w:pPr>
      <w:spacing w:line="240" w:lineRule="auto"/>
    </w:pPr>
    <w:rPr>
      <w:rFonts w:asciiTheme="minorHAnsi" w:eastAsiaTheme="minorHAnsi" w:hAnsiTheme="minorHAnsi" w:cstheme="minorBidi"/>
      <w:lang w:eastAsia="en-US"/>
    </w:rPr>
  </w:style>
  <w:style w:type="table" w:styleId="TableGrid">
    <w:name w:val="Table Grid"/>
    <w:basedOn w:val="TableNormal"/>
    <w:uiPriority w:val="39"/>
    <w:rsid w:val="0074740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C50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5039"/>
    <w:rPr>
      <w:rFonts w:asciiTheme="minorHAnsi" w:eastAsiaTheme="minorHAnsi" w:hAnsiTheme="minorHAnsi" w:cstheme="minorBidi"/>
      <w:sz w:val="20"/>
      <w:szCs w:val="20"/>
      <w:lang w:eastAsia="en-US"/>
    </w:rPr>
  </w:style>
  <w:style w:type="character" w:styleId="FootnoteReference">
    <w:name w:val="footnote reference"/>
    <w:basedOn w:val="DefaultParagraphFont"/>
    <w:uiPriority w:val="99"/>
    <w:semiHidden/>
    <w:unhideWhenUsed/>
    <w:rsid w:val="00AC5039"/>
    <w:rPr>
      <w:vertAlign w:val="superscript"/>
    </w:rPr>
  </w:style>
  <w:style w:type="character" w:styleId="Hyperlink">
    <w:name w:val="Hyperlink"/>
    <w:basedOn w:val="DefaultParagraphFont"/>
    <w:uiPriority w:val="99"/>
    <w:unhideWhenUsed/>
    <w:rsid w:val="00AC5039"/>
    <w:rPr>
      <w:color w:val="0563C1" w:themeColor="hyperlink"/>
      <w:u w:val="single"/>
    </w:rPr>
  </w:style>
  <w:style w:type="table" w:customStyle="1" w:styleId="a3">
    <w:basedOn w:val="TableNormal"/>
    <w:tblPr>
      <w:tblStyleRowBandSize w:val="1"/>
      <w:tblStyleColBandSize w:val="1"/>
      <w:tblCellMar>
        <w:left w:w="98" w:type="dxa"/>
        <w:right w:w="115" w:type="dxa"/>
      </w:tblCellMar>
    </w:tblPr>
  </w:style>
  <w:style w:type="table" w:customStyle="1" w:styleId="a4">
    <w:basedOn w:val="TableNormal"/>
    <w:tblPr>
      <w:tblStyleRowBandSize w:val="1"/>
      <w:tblStyleColBandSize w:val="1"/>
      <w:tblCellMar>
        <w:left w:w="98" w:type="dxa"/>
        <w:right w:w="115" w:type="dxa"/>
      </w:tblCellMar>
    </w:tblPr>
  </w:style>
  <w:style w:type="table" w:customStyle="1" w:styleId="a5">
    <w:basedOn w:val="TableNormal"/>
    <w:tblPr>
      <w:tblStyleRowBandSize w:val="1"/>
      <w:tblStyleColBandSize w:val="1"/>
      <w:tblCellMar>
        <w:left w:w="98" w:type="dxa"/>
        <w:right w:w="115" w:type="dxa"/>
      </w:tblCellMar>
    </w:tblPr>
  </w:style>
  <w:style w:type="table" w:customStyle="1" w:styleId="a6">
    <w:basedOn w:val="TableNormal"/>
    <w:tblPr>
      <w:tblStyleRowBandSize w:val="1"/>
      <w:tblStyleColBandSize w:val="1"/>
      <w:tblCellMar>
        <w:left w:w="103" w:type="dxa"/>
        <w:right w:w="115" w:type="dxa"/>
      </w:tblCellMar>
    </w:tblPr>
  </w:style>
  <w:style w:type="table" w:customStyle="1" w:styleId="a7">
    <w:basedOn w:val="TableNormal"/>
    <w:tblPr>
      <w:tblStyleRowBandSize w:val="1"/>
      <w:tblStyleColBandSize w:val="1"/>
      <w:tblCellMar>
        <w:left w:w="98" w:type="dxa"/>
        <w:right w:w="115" w:type="dxa"/>
      </w:tblCellMar>
    </w:tblPr>
  </w:style>
  <w:style w:type="paragraph" w:styleId="BalloonText">
    <w:name w:val="Balloon Text"/>
    <w:basedOn w:val="Normal"/>
    <w:link w:val="BalloonTextChar"/>
    <w:uiPriority w:val="99"/>
    <w:semiHidden/>
    <w:unhideWhenUsed/>
    <w:rsid w:val="00D51F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FCE"/>
    <w:rPr>
      <w:rFonts w:ascii="Segoe UI" w:eastAsiaTheme="minorHAnsi" w:hAnsi="Segoe UI" w:cs="Segoe UI"/>
      <w:sz w:val="18"/>
      <w:szCs w:val="18"/>
      <w:lang w:eastAsia="en-US"/>
    </w:rPr>
  </w:style>
  <w:style w:type="table" w:customStyle="1" w:styleId="a8">
    <w:basedOn w:val="TableNormal"/>
    <w:pPr>
      <w:spacing w:line="240" w:lineRule="auto"/>
    </w:pPr>
    <w:tblPr>
      <w:tblStyleRowBandSize w:val="1"/>
      <w:tblStyleColBandSize w:val="1"/>
      <w:tblCellMar>
        <w:left w:w="98" w:type="dxa"/>
        <w:right w:w="115" w:type="dxa"/>
      </w:tblCellMar>
    </w:tblPr>
  </w:style>
  <w:style w:type="table" w:customStyle="1" w:styleId="a9">
    <w:basedOn w:val="TableNormal"/>
    <w:pPr>
      <w:spacing w:line="240" w:lineRule="auto"/>
    </w:pPr>
    <w:tblPr>
      <w:tblStyleRowBandSize w:val="1"/>
      <w:tblStyleColBandSize w:val="1"/>
      <w:tblCellMar>
        <w:left w:w="98" w:type="dxa"/>
        <w:right w:w="115" w:type="dxa"/>
      </w:tblCellMar>
    </w:tblPr>
  </w:style>
  <w:style w:type="table" w:customStyle="1" w:styleId="aa">
    <w:basedOn w:val="TableNormal"/>
    <w:pPr>
      <w:spacing w:line="240" w:lineRule="auto"/>
    </w:pPr>
    <w:tblPr>
      <w:tblStyleRowBandSize w:val="1"/>
      <w:tblStyleColBandSize w:val="1"/>
      <w:tblCellMar>
        <w:left w:w="98" w:type="dxa"/>
        <w:right w:w="115" w:type="dxa"/>
      </w:tblCellMar>
    </w:tblPr>
  </w:style>
  <w:style w:type="table" w:customStyle="1" w:styleId="ab">
    <w:basedOn w:val="TableNormal"/>
    <w:pPr>
      <w:spacing w:line="240" w:lineRule="auto"/>
    </w:pPr>
    <w:tblPr>
      <w:tblStyleRowBandSize w:val="1"/>
      <w:tblStyleColBandSize w:val="1"/>
      <w:tblCellMar>
        <w:left w:w="98" w:type="dxa"/>
        <w:right w:w="115" w:type="dxa"/>
      </w:tblCellMar>
    </w:tblPr>
  </w:style>
  <w:style w:type="table" w:customStyle="1" w:styleId="ac">
    <w:basedOn w:val="TableNormal"/>
    <w:pPr>
      <w:spacing w:line="240" w:lineRule="auto"/>
    </w:pPr>
    <w:tblPr>
      <w:tblStyleRowBandSize w:val="1"/>
      <w:tblStyleColBandSize w:val="1"/>
      <w:tblCellMar>
        <w:left w:w="98" w:type="dxa"/>
        <w:right w:w="115"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to.bg/" TargetMode="External"/><Relationship Id="rId18" Type="http://schemas.openxmlformats.org/officeDocument/2006/relationships/hyperlink" Target="https://isuo.sofia.bg/reuse/center/lis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ouncil.sofia.bg/postoianna-komisia-po-opazvane-na-okolnata-sreda-zemedelie-i-gori" TargetMode="External"/><Relationship Id="rId17" Type="http://schemas.openxmlformats.org/officeDocument/2006/relationships/hyperlink" Target="https://isuo.sofia.bg/reuse/object/public/list/"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inspectorat-so.org/"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sofia.bg/web/guest/bas%D0%9B"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zia.sofia.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W6jprj8xTqnBWy98H7SGMF74eA==">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10391</Words>
  <Characters>59234</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dc:creator>
  <cp:lastModifiedBy>Eko</cp:lastModifiedBy>
  <cp:revision>4</cp:revision>
  <dcterms:created xsi:type="dcterms:W3CDTF">2022-06-06T09:17:00Z</dcterms:created>
  <dcterms:modified xsi:type="dcterms:W3CDTF">2022-06-06T12:43:00Z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